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51B73" w14:textId="45B9EC29" w:rsidR="00801725" w:rsidRPr="004E05D4" w:rsidRDefault="006951B2" w:rsidP="00BD118B">
      <w:pPr>
        <w:rPr>
          <w:i/>
          <w:iCs/>
          <w:sz w:val="28"/>
          <w:szCs w:val="28"/>
        </w:rPr>
      </w:pPr>
      <w:r>
        <w:rPr>
          <w:i/>
          <w:iCs/>
          <w:sz w:val="28"/>
          <w:szCs w:val="28"/>
        </w:rPr>
        <w:t>Appendix</w:t>
      </w:r>
      <w:r w:rsidR="004E05D4" w:rsidRPr="004E05D4">
        <w:rPr>
          <w:i/>
          <w:iCs/>
          <w:sz w:val="28"/>
          <w:szCs w:val="28"/>
        </w:rPr>
        <w:t xml:space="preserve"> </w:t>
      </w:r>
      <w:r w:rsidR="004E05D4">
        <w:rPr>
          <w:i/>
          <w:iCs/>
          <w:sz w:val="28"/>
          <w:szCs w:val="28"/>
        </w:rPr>
        <w:t>for</w:t>
      </w:r>
    </w:p>
    <w:p w14:paraId="5F9C644F" w14:textId="77777777" w:rsidR="004E05D4" w:rsidRPr="00182001" w:rsidRDefault="004E05D4" w:rsidP="004E05D4">
      <w:pPr>
        <w:spacing w:line="240" w:lineRule="auto"/>
        <w:rPr>
          <w:sz w:val="40"/>
          <w:szCs w:val="40"/>
        </w:rPr>
      </w:pPr>
      <w:r w:rsidRPr="00182001">
        <w:rPr>
          <w:b/>
          <w:bCs/>
          <w:sz w:val="40"/>
          <w:szCs w:val="40"/>
        </w:rPr>
        <w:t xml:space="preserve">The Aftershock: </w:t>
      </w:r>
      <w:r w:rsidRPr="003135EC">
        <w:rPr>
          <w:b/>
          <w:bCs/>
          <w:sz w:val="40"/>
          <w:szCs w:val="40"/>
        </w:rPr>
        <w:t>Projecting the Impact of NIH Funding Reductions on Research and Innovation</w:t>
      </w:r>
    </w:p>
    <w:p w14:paraId="6C263008" w14:textId="77777777" w:rsidR="00BD118B" w:rsidRPr="00BD118B" w:rsidRDefault="00BD118B" w:rsidP="00BD118B">
      <w:pPr>
        <w:rPr>
          <w:b/>
          <w:bCs/>
          <w:sz w:val="32"/>
          <w:szCs w:val="32"/>
        </w:rPr>
      </w:pPr>
    </w:p>
    <w:p w14:paraId="26010CDB" w14:textId="77777777" w:rsidR="006D2C4F" w:rsidRDefault="006D2C4F" w:rsidP="006D2C4F">
      <w:pPr>
        <w:pStyle w:val="Heading1"/>
        <w:rPr>
          <w:rFonts w:ascii="Times New Roman" w:eastAsia="Times New Roman" w:hAnsi="Times New Roman" w:cs="Times New Roman"/>
        </w:rPr>
      </w:pPr>
      <w:r w:rsidRPr="0B2736D5">
        <w:rPr>
          <w:rFonts w:ascii="Times New Roman" w:eastAsia="Times New Roman" w:hAnsi="Times New Roman" w:cs="Times New Roman"/>
        </w:rPr>
        <w:t>Data Sources</w:t>
      </w:r>
    </w:p>
    <w:p w14:paraId="1156FD36" w14:textId="77777777" w:rsidR="006D2C4F" w:rsidRDefault="006D2C4F" w:rsidP="006D2C4F">
      <w:pPr>
        <w:rPr>
          <w:rFonts w:ascii="Times New Roman" w:eastAsia="Times New Roman" w:hAnsi="Times New Roman" w:cs="Times New Roman"/>
        </w:rPr>
      </w:pPr>
      <w:r w:rsidRPr="04CDF439">
        <w:rPr>
          <w:rFonts w:ascii="Times New Roman" w:eastAsia="Times New Roman" w:hAnsi="Times New Roman" w:cs="Times New Roman"/>
        </w:rPr>
        <w:t>We used several sources with data from 1995 to 2024 to inform our model where available.</w:t>
      </w:r>
    </w:p>
    <w:p w14:paraId="513CB750" w14:textId="3C09C6DA" w:rsidR="006D2C4F" w:rsidRDefault="006D2C4F" w:rsidP="006D2C4F">
      <w:pPr>
        <w:pStyle w:val="Heading2"/>
        <w:rPr>
          <w:rFonts w:ascii="Times New Roman" w:eastAsia="Times New Roman" w:hAnsi="Times New Roman" w:cs="Times New Roman"/>
        </w:rPr>
      </w:pPr>
      <w:r w:rsidRPr="0B2736D5">
        <w:rPr>
          <w:rFonts w:ascii="Times New Roman" w:eastAsia="Times New Roman" w:hAnsi="Times New Roman" w:cs="Times New Roman"/>
        </w:rPr>
        <w:t>Workforce</w:t>
      </w:r>
    </w:p>
    <w:p w14:paraId="215168D5" w14:textId="77777777" w:rsidR="006D2C4F" w:rsidRDefault="006D2C4F" w:rsidP="006D2C4F">
      <w:pPr>
        <w:rPr>
          <w:rFonts w:ascii="Times New Roman" w:eastAsia="Times New Roman" w:hAnsi="Times New Roman" w:cs="Times New Roman"/>
        </w:rPr>
      </w:pPr>
      <w:r w:rsidRPr="64301B9E">
        <w:rPr>
          <w:rFonts w:ascii="Times New Roman" w:eastAsia="Times New Roman" w:hAnsi="Times New Roman" w:cs="Times New Roman"/>
        </w:rPr>
        <w:t>Most of the</w:t>
      </w:r>
      <w:r w:rsidRPr="0B2736D5">
        <w:rPr>
          <w:rFonts w:ascii="Times New Roman" w:eastAsia="Times New Roman" w:hAnsi="Times New Roman" w:cs="Times New Roman"/>
        </w:rPr>
        <w:t xml:space="preserve"> data on </w:t>
      </w:r>
      <w:r w:rsidRPr="5551A40A">
        <w:rPr>
          <w:rFonts w:ascii="Times New Roman" w:eastAsia="Times New Roman" w:hAnsi="Times New Roman" w:cs="Times New Roman"/>
        </w:rPr>
        <w:t>the workforce</w:t>
      </w:r>
      <w:r w:rsidRPr="0B2736D5">
        <w:rPr>
          <w:rFonts w:ascii="Times New Roman" w:eastAsia="Times New Roman" w:hAnsi="Times New Roman" w:cs="Times New Roman"/>
        </w:rPr>
        <w:t xml:space="preserve"> in the model are drawn from the National Science Foundations’ (NSF) National Center for Science and Engineering Statistics. We limited the workforce to individuals located in the United States during the time of data collection. </w:t>
      </w:r>
    </w:p>
    <w:p w14:paraId="4B2F7504" w14:textId="1C248A06" w:rsidR="006D2C4F" w:rsidRDefault="006D2C4F" w:rsidP="00BD118B">
      <w:pPr>
        <w:pStyle w:val="Heading3"/>
      </w:pPr>
      <w:r w:rsidRPr="0B2736D5">
        <w:t>Graduate students</w:t>
      </w:r>
    </w:p>
    <w:p w14:paraId="76A8F8C9" w14:textId="03796A54" w:rsidR="006D2C4F" w:rsidRDefault="006D2C4F" w:rsidP="006D2C4F">
      <w:pPr>
        <w:rPr>
          <w:rFonts w:ascii="Times New Roman" w:eastAsia="Times New Roman" w:hAnsi="Times New Roman" w:cs="Times New Roman"/>
        </w:rPr>
      </w:pPr>
      <w:r w:rsidRPr="0B2736D5">
        <w:rPr>
          <w:rFonts w:ascii="Times New Roman" w:eastAsia="Times New Roman" w:hAnsi="Times New Roman" w:cs="Times New Roman"/>
        </w:rPr>
        <w:t>To derive data on graduate students, we used NSF’s Survey of Graduate Students and Postdoctorates in Science and Engineering (GSS).</w:t>
      </w:r>
      <w:r>
        <w:rPr>
          <w:rFonts w:ascii="Times New Roman" w:eastAsia="Times New Roman" w:hAnsi="Times New Roman" w:cs="Times New Roman"/>
        </w:rPr>
        <w:fldChar w:fldCharType="begin"/>
      </w:r>
      <w:r w:rsidR="00C94303">
        <w:rPr>
          <w:rFonts w:ascii="Times New Roman" w:eastAsia="Times New Roman" w:hAnsi="Times New Roman" w:cs="Times New Roman"/>
        </w:rPr>
        <w:instrText xml:space="preserve"> ADDIN ZOTERO_ITEM CSL_CITATION {"citationID":"2Cj0lw7M","properties":{"formattedCitation":"\\super 1\\nosupersub{}","plainCitation":"1","noteIndex":0},"citationItems":[{"id":2771,"uris":["http://zotero.org/groups/5885644/items/JQQ3R9TP"],"itemData":{"id":2771,"type":"dataset","event-place":"Alexandria, VA","number":"NSF 25-317","publisher":"U.S. National Science Foundation","publisher-place":"Alexandria, VA","title":"Survey of Graduate Students and Postdoctorates in Science and Engineering: Fall 2023","URL":"https://ncses.nsf.gov/surveys/graduate-students-postdoctorates-s-e/2023","author":[{"literal":"National Center for Science and Engineering Statistics (NCSES)"}],"issued":{"date-parts":[["2025"]]}}}],"schema":"https://github.com/citation-style-language/schema/raw/master/csl-citation.json"} </w:instrText>
      </w:r>
      <w:r>
        <w:rPr>
          <w:rFonts w:ascii="Times New Roman" w:eastAsia="Times New Roman" w:hAnsi="Times New Roman" w:cs="Times New Roman"/>
        </w:rPr>
        <w:fldChar w:fldCharType="separate"/>
      </w:r>
      <w:r w:rsidR="00C94303" w:rsidRPr="00C94303">
        <w:rPr>
          <w:rFonts w:ascii="Times New Roman" w:hAnsi="Times New Roman" w:cs="Times New Roman"/>
          <w:kern w:val="0"/>
          <w:vertAlign w:val="superscript"/>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sidRPr="0B2736D5">
        <w:rPr>
          <w:rFonts w:ascii="Times New Roman" w:eastAsia="Times New Roman" w:hAnsi="Times New Roman" w:cs="Times New Roman"/>
        </w:rPr>
        <w:t>We limited the total number of graduate students to those of full-time status, as a majority of the data, such as first-time enrollment, was available for full-time students only. We included all students</w:t>
      </w:r>
      <w:r>
        <w:rPr>
          <w:rFonts w:ascii="Times New Roman" w:eastAsia="Times New Roman" w:hAnsi="Times New Roman" w:cs="Times New Roman"/>
        </w:rPr>
        <w:t xml:space="preserve"> surveyed</w:t>
      </w:r>
      <w:r w:rsidRPr="0B2736D5">
        <w:rPr>
          <w:rFonts w:ascii="Times New Roman" w:eastAsia="Times New Roman" w:hAnsi="Times New Roman" w:cs="Times New Roman"/>
        </w:rPr>
        <w:t xml:space="preserve"> in GSS, who are in either the science, engineering, or health fields. Note that for all values, there were often trend breaks, and we always used the new values rather than the old. </w:t>
      </w:r>
    </w:p>
    <w:p w14:paraId="4B5D2B28" w14:textId="77777777" w:rsidR="006D2C4F" w:rsidRDefault="006D2C4F" w:rsidP="006D2C4F">
      <w:pPr>
        <w:rPr>
          <w:rFonts w:ascii="Times New Roman" w:eastAsia="Times New Roman" w:hAnsi="Times New Roman" w:cs="Times New Roman"/>
        </w:rPr>
      </w:pPr>
      <w:r w:rsidRPr="0B2736D5">
        <w:rPr>
          <w:rFonts w:ascii="Times New Roman" w:eastAsia="Times New Roman" w:hAnsi="Times New Roman" w:cs="Times New Roman"/>
        </w:rPr>
        <w:t xml:space="preserve">The total annual counts of current full-time graduate students were obtained from Table 1-5a. </w:t>
      </w:r>
      <w:r w:rsidRPr="0B2736D5">
        <w:rPr>
          <w:rFonts w:ascii="Times New Roman" w:eastAsia="Times New Roman" w:hAnsi="Times New Roman" w:cs="Times New Roman"/>
          <w:i/>
          <w:iCs/>
        </w:rPr>
        <w:t>Enrollment intensity of graduate students in science, engineering, and health, by degree program: 1975–2023</w:t>
      </w:r>
      <w:r w:rsidRPr="0B2736D5">
        <w:rPr>
          <w:rFonts w:ascii="Times New Roman" w:eastAsia="Times New Roman" w:hAnsi="Times New Roman" w:cs="Times New Roman"/>
        </w:rPr>
        <w:t xml:space="preserve">. </w:t>
      </w:r>
    </w:p>
    <w:p w14:paraId="504D8C59" w14:textId="77777777" w:rsidR="006D2C4F" w:rsidRDefault="006D2C4F" w:rsidP="006D2C4F">
      <w:pPr>
        <w:rPr>
          <w:rFonts w:ascii="Times New Roman" w:eastAsia="Times New Roman" w:hAnsi="Times New Roman" w:cs="Times New Roman"/>
        </w:rPr>
      </w:pPr>
      <w:r w:rsidRPr="0B2736D5">
        <w:rPr>
          <w:rFonts w:ascii="Times New Roman" w:eastAsia="Times New Roman" w:hAnsi="Times New Roman" w:cs="Times New Roman"/>
        </w:rPr>
        <w:t xml:space="preserve">We derived the first-time enrollments of full-time graduate students from Table 1-5b. </w:t>
      </w:r>
      <w:r w:rsidRPr="0B2736D5">
        <w:rPr>
          <w:rFonts w:ascii="Times New Roman" w:eastAsia="Times New Roman" w:hAnsi="Times New Roman" w:cs="Times New Roman"/>
          <w:i/>
          <w:iCs/>
        </w:rPr>
        <w:t>First-time status among full-time graduate students in science, engineering, and health, by degree level: 1975–2023</w:t>
      </w:r>
      <w:r w:rsidRPr="0B2736D5">
        <w:rPr>
          <w:rFonts w:ascii="Times New Roman" w:eastAsia="Times New Roman" w:hAnsi="Times New Roman" w:cs="Times New Roman"/>
        </w:rPr>
        <w:t xml:space="preserve">. According to NSF, this includes all students newly enrolled for credit in a graduate degree program in the fall, including those with prior graduate enrollment or existing graduate/professional degrees. </w:t>
      </w:r>
    </w:p>
    <w:p w14:paraId="4A0E24F9" w14:textId="77777777" w:rsidR="006D2C4F" w:rsidRDefault="006D2C4F" w:rsidP="006D2C4F">
      <w:pPr>
        <w:rPr>
          <w:rFonts w:ascii="Times New Roman" w:eastAsia="Times New Roman" w:hAnsi="Times New Roman" w:cs="Times New Roman"/>
        </w:rPr>
      </w:pPr>
      <w:r w:rsidRPr="0B2736D5">
        <w:rPr>
          <w:rFonts w:ascii="Times New Roman" w:eastAsia="Times New Roman" w:hAnsi="Times New Roman" w:cs="Times New Roman"/>
        </w:rPr>
        <w:t xml:space="preserve">GSS provides additional data on the characteristics of graduate students. Using Table 1-7. </w:t>
      </w:r>
      <w:r w:rsidRPr="0B2736D5">
        <w:rPr>
          <w:rFonts w:ascii="Times New Roman" w:eastAsia="Times New Roman" w:hAnsi="Times New Roman" w:cs="Times New Roman"/>
          <w:i/>
          <w:iCs/>
        </w:rPr>
        <w:t>Detailed primary source of federal support for full-time graduate students in science, engineering, and health: 1975–2023</w:t>
      </w:r>
      <w:r w:rsidRPr="0B2736D5">
        <w:rPr>
          <w:rFonts w:ascii="Times New Roman" w:eastAsia="Times New Roman" w:hAnsi="Times New Roman" w:cs="Times New Roman"/>
        </w:rPr>
        <w:t xml:space="preserve">, we obtained yearly counts of students whose primary source of support was through federal funding, as well as those specifically funded by NIH. Furthermore, Table 1-8. Primary mechanism of support for full-time graduate students in science, engineering, and health: 1975–2023, allowed us to derive annual percentages of all full-time graduate students whose primary mechanism of support was through research assistantships. </w:t>
      </w:r>
    </w:p>
    <w:p w14:paraId="1BAD3ADA" w14:textId="3902BC49" w:rsidR="006D2C4F" w:rsidRDefault="006D2C4F" w:rsidP="006D2C4F">
      <w:pPr>
        <w:rPr>
          <w:rFonts w:ascii="Times New Roman" w:eastAsia="Times New Roman" w:hAnsi="Times New Roman" w:cs="Times New Roman"/>
        </w:rPr>
      </w:pPr>
      <w:r w:rsidRPr="0B2736D5">
        <w:rPr>
          <w:rFonts w:ascii="Times New Roman" w:eastAsia="Times New Roman" w:hAnsi="Times New Roman" w:cs="Times New Roman"/>
        </w:rPr>
        <w:lastRenderedPageBreak/>
        <w:t>Using NSF’s Survey of Earned Doctorates (SED),</w:t>
      </w:r>
      <w:r>
        <w:rPr>
          <w:rFonts w:ascii="Times New Roman" w:eastAsia="Times New Roman" w:hAnsi="Times New Roman" w:cs="Times New Roman"/>
        </w:rPr>
        <w:fldChar w:fldCharType="begin"/>
      </w:r>
      <w:r w:rsidR="00C94303">
        <w:rPr>
          <w:rFonts w:ascii="Times New Roman" w:eastAsia="Times New Roman" w:hAnsi="Times New Roman" w:cs="Times New Roman"/>
        </w:rPr>
        <w:instrText xml:space="preserve"> ADDIN ZOTERO_ITEM CSL_CITATION {"citationID":"OLccExcO","properties":{"formattedCitation":"\\super 2\\nosupersub{}","plainCitation":"2","noteIndex":0},"citationItems":[{"id":2773,"uris":["http://zotero.org/groups/5885644/items/ZK6ZJQAA"],"itemData":{"id":2773,"type":"dataset","event-place":"Alexandria, VA","number":"NSF 24-336","publisher":"U.S. National Science Foundation","publisher-place":"Alexandria, VA","title":"Doctorate Recipients from U.S. Universities: 2023 Data Tables","URL":"https://ncses.nsf.gov/surveys/earned-doctorates","author":[{"literal":"National Center for Science and Engineering Statistics (NCSES)"}],"issued":{"date-parts":[["2024"]]}}}],"schema":"https://github.com/citation-style-language/schema/raw/master/csl-citation.json"} </w:instrText>
      </w:r>
      <w:r>
        <w:rPr>
          <w:rFonts w:ascii="Times New Roman" w:eastAsia="Times New Roman" w:hAnsi="Times New Roman" w:cs="Times New Roman"/>
        </w:rPr>
        <w:fldChar w:fldCharType="separate"/>
      </w:r>
      <w:r w:rsidR="00C94303" w:rsidRPr="00C94303">
        <w:rPr>
          <w:rFonts w:ascii="Times New Roman" w:hAnsi="Times New Roman" w:cs="Times New Roman"/>
          <w:kern w:val="0"/>
          <w:vertAlign w:val="superscript"/>
        </w:rPr>
        <w:t>2</w:t>
      </w:r>
      <w:r>
        <w:rPr>
          <w:rFonts w:ascii="Times New Roman" w:eastAsia="Times New Roman" w:hAnsi="Times New Roman" w:cs="Times New Roman"/>
        </w:rPr>
        <w:fldChar w:fldCharType="end"/>
      </w:r>
      <w:r w:rsidRPr="0B2736D5">
        <w:rPr>
          <w:rFonts w:ascii="Times New Roman" w:eastAsia="Times New Roman" w:hAnsi="Times New Roman" w:cs="Times New Roman"/>
        </w:rPr>
        <w:t xml:space="preserve"> we obtained the number of research doctorate recipients from U.S. academic institutions, available for selected years only, using Table 1-6. </w:t>
      </w:r>
      <w:r w:rsidRPr="0B2736D5">
        <w:rPr>
          <w:rFonts w:ascii="Times New Roman" w:eastAsia="Times New Roman" w:hAnsi="Times New Roman" w:cs="Times New Roman"/>
          <w:i/>
          <w:iCs/>
        </w:rPr>
        <w:t>Research doctorate recipients, by trend broad field of doctorate and citizenship status</w:t>
      </w:r>
      <w:r w:rsidRPr="0B2736D5">
        <w:rPr>
          <w:rFonts w:ascii="Times New Roman" w:eastAsia="Times New Roman" w:hAnsi="Times New Roman" w:cs="Times New Roman"/>
        </w:rPr>
        <w:t xml:space="preserve">. We included only individuals from the science and engineering fields, which includes the health sciences in this data, and excluded those in non-science or engineering fields. Additionally, the SED allowed us to obtain time series data on the outflow of doctorate recipients. Using Table 2-6. </w:t>
      </w:r>
      <w:r w:rsidRPr="0B2736D5">
        <w:rPr>
          <w:rFonts w:ascii="Times New Roman" w:eastAsia="Times New Roman" w:hAnsi="Times New Roman" w:cs="Times New Roman"/>
          <w:i/>
          <w:iCs/>
        </w:rPr>
        <w:t>Employment sector of research doctorate recipients with definite postgraduation commitments for non-postdoc employment in the United States, by trend broad field of doctorate: Selected years, 1993–2023</w:t>
      </w:r>
      <w:r w:rsidRPr="0B2736D5">
        <w:rPr>
          <w:rFonts w:ascii="Times New Roman" w:eastAsia="Times New Roman" w:hAnsi="Times New Roman" w:cs="Times New Roman"/>
        </w:rPr>
        <w:t xml:space="preserve">, we obtained the number of research doctorate students of science and engineering fields who secured positions in academia and in industry or business—categories we broadly interpret as representing project grant investigator and industry employment, respectively. Similarly, we obtained the students who committed to postdoctoral training plans using Table 2-3. </w:t>
      </w:r>
      <w:r w:rsidRPr="0B2736D5">
        <w:rPr>
          <w:rFonts w:ascii="Times New Roman" w:eastAsia="Times New Roman" w:hAnsi="Times New Roman" w:cs="Times New Roman"/>
          <w:i/>
          <w:iCs/>
        </w:rPr>
        <w:t xml:space="preserve">Postgraduation plans of research doctorate recipients with definite commitments, by trend broad field of doctorate. </w:t>
      </w:r>
    </w:p>
    <w:p w14:paraId="5FB7813B" w14:textId="686CE28C" w:rsidR="006D2C4F" w:rsidRDefault="006D2C4F" w:rsidP="006D2C4F">
      <w:pPr>
        <w:rPr>
          <w:rFonts w:ascii="Times New Roman" w:eastAsia="Times New Roman" w:hAnsi="Times New Roman" w:cs="Times New Roman"/>
        </w:rPr>
      </w:pPr>
      <w:r w:rsidRPr="0B2736D5">
        <w:rPr>
          <w:rFonts w:ascii="Times New Roman" w:eastAsia="Times New Roman" w:hAnsi="Times New Roman" w:cs="Times New Roman"/>
        </w:rPr>
        <w:t>Unlike many statistics collected by the GSS, the SED surveys all graduate students without distinction of enrollment intensity. In other words, our outflow data include all doctoral students—both full- and part-time—whereas our stock data focus exclusively on full-time students. While we acknowledge the discrepancy between the two measures, we choose to disregard it, as part-time doctoral students have consistently accounted for less than 13% since 2017.</w:t>
      </w:r>
      <w:r>
        <w:rPr>
          <w:rFonts w:ascii="Times New Roman" w:eastAsia="Times New Roman" w:hAnsi="Times New Roman" w:cs="Times New Roman"/>
        </w:rPr>
        <w:fldChar w:fldCharType="begin"/>
      </w:r>
      <w:r w:rsidR="00C94303">
        <w:rPr>
          <w:rFonts w:ascii="Times New Roman" w:eastAsia="Times New Roman" w:hAnsi="Times New Roman" w:cs="Times New Roman"/>
        </w:rPr>
        <w:instrText xml:space="preserve"> ADDIN ZOTERO_ITEM CSL_CITATION {"citationID":"0l7onPrA","properties":{"formattedCitation":"\\super 1\\nosupersub{}","plainCitation":"1","noteIndex":0},"citationItems":[{"id":2771,"uris":["http://zotero.org/groups/5885644/items/JQQ3R9TP"],"itemData":{"id":2771,"type":"dataset","event-place":"Alexandria, VA","number":"NSF 25-317","publisher":"U.S. National Science Foundation","publisher-place":"Alexandria, VA","title":"Survey of Graduate Students and Postdoctorates in Science and Engineering: Fall 2023","URL":"https://ncses.nsf.gov/surveys/graduate-students-postdoctorates-s-e/2023","author":[{"literal":"National Center for Science and Engineering Statistics (NCSES)"}],"issued":{"date-parts":[["2025"]]}}}],"schema":"https://github.com/citation-style-language/schema/raw/master/csl-citation.json"} </w:instrText>
      </w:r>
      <w:r>
        <w:rPr>
          <w:rFonts w:ascii="Times New Roman" w:eastAsia="Times New Roman" w:hAnsi="Times New Roman" w:cs="Times New Roman"/>
        </w:rPr>
        <w:fldChar w:fldCharType="separate"/>
      </w:r>
      <w:r w:rsidR="00C94303" w:rsidRPr="00C94303">
        <w:rPr>
          <w:rFonts w:ascii="Times New Roman" w:hAnsi="Times New Roman" w:cs="Times New Roman"/>
          <w:kern w:val="0"/>
          <w:vertAlign w:val="superscript"/>
        </w:rPr>
        <w:t>1</w:t>
      </w:r>
      <w:r>
        <w:rPr>
          <w:rFonts w:ascii="Times New Roman" w:eastAsia="Times New Roman" w:hAnsi="Times New Roman" w:cs="Times New Roman"/>
        </w:rPr>
        <w:fldChar w:fldCharType="end"/>
      </w:r>
    </w:p>
    <w:p w14:paraId="1DE58B94" w14:textId="7E209E99" w:rsidR="006D2C4F" w:rsidRDefault="006D2C4F" w:rsidP="006D2C4F">
      <w:pPr>
        <w:pStyle w:val="Heading3"/>
        <w:rPr>
          <w:rFonts w:ascii="Times New Roman" w:eastAsia="Times New Roman" w:hAnsi="Times New Roman" w:cs="Times New Roman"/>
        </w:rPr>
      </w:pPr>
      <w:r w:rsidRPr="0B2736D5">
        <w:rPr>
          <w:rFonts w:ascii="Times New Roman" w:eastAsia="Times New Roman" w:hAnsi="Times New Roman" w:cs="Times New Roman"/>
        </w:rPr>
        <w:t>Postdoctoral appointees</w:t>
      </w:r>
    </w:p>
    <w:p w14:paraId="0A2869C3" w14:textId="77777777" w:rsidR="006D2C4F" w:rsidRDefault="006D2C4F" w:rsidP="006D2C4F">
      <w:pPr>
        <w:rPr>
          <w:rFonts w:ascii="Times New Roman" w:eastAsia="Times New Roman" w:hAnsi="Times New Roman" w:cs="Times New Roman"/>
        </w:rPr>
      </w:pPr>
      <w:r w:rsidRPr="0B2736D5">
        <w:rPr>
          <w:rFonts w:ascii="Times New Roman" w:eastAsia="Times New Roman" w:hAnsi="Times New Roman" w:cs="Times New Roman"/>
        </w:rPr>
        <w:t xml:space="preserve">Similar to graduate students, we noted all postdoctoral appointees among the science, engineering, or health fields from Table 1-1. </w:t>
      </w:r>
      <w:r w:rsidRPr="0B2736D5">
        <w:rPr>
          <w:rFonts w:ascii="Times New Roman" w:eastAsia="Times New Roman" w:hAnsi="Times New Roman" w:cs="Times New Roman"/>
          <w:i/>
          <w:iCs/>
        </w:rPr>
        <w:t xml:space="preserve">Graduate students, postdoctoral appointees, and doctorate-holding nonfaculty researchers in science, engineering, and health: 1975–2023 </w:t>
      </w:r>
      <w:r w:rsidRPr="0B2736D5">
        <w:rPr>
          <w:rFonts w:ascii="Times New Roman" w:eastAsia="Times New Roman" w:hAnsi="Times New Roman" w:cs="Times New Roman"/>
        </w:rPr>
        <w:t>of GSS. Additionally, the primary source of funding for postdoctoral researchers being identified as federal, were noted based on data obtained from the GSS, with most information derived from archived reports.</w:t>
      </w:r>
    </w:p>
    <w:p w14:paraId="4B6E0BC5" w14:textId="7A1249A9" w:rsidR="006D2C4F" w:rsidRDefault="006D2C4F" w:rsidP="006D2C4F">
      <w:pPr>
        <w:pStyle w:val="Heading3"/>
        <w:rPr>
          <w:rFonts w:ascii="Times New Roman" w:eastAsia="Times New Roman" w:hAnsi="Times New Roman" w:cs="Times New Roman"/>
        </w:rPr>
      </w:pPr>
      <w:r w:rsidRPr="0B2736D5">
        <w:rPr>
          <w:rFonts w:ascii="Times New Roman" w:eastAsia="Times New Roman" w:hAnsi="Times New Roman" w:cs="Times New Roman"/>
        </w:rPr>
        <w:t>Researchers</w:t>
      </w:r>
    </w:p>
    <w:p w14:paraId="57C66BAB" w14:textId="3076E0EC" w:rsidR="006D2C4F" w:rsidRDefault="006D2C4F" w:rsidP="006D2C4F">
      <w:pPr>
        <w:shd w:val="clear" w:color="auto" w:fill="FFFFFF" w:themeFill="background1"/>
        <w:spacing w:after="225"/>
        <w:rPr>
          <w:rFonts w:ascii="Times New Roman" w:eastAsia="Times New Roman" w:hAnsi="Times New Roman" w:cs="Times New Roman"/>
        </w:rPr>
      </w:pPr>
      <w:r w:rsidRPr="43F56369">
        <w:rPr>
          <w:rFonts w:ascii="Times New Roman" w:eastAsia="Times New Roman" w:hAnsi="Times New Roman" w:cs="Times New Roman"/>
        </w:rPr>
        <w:t>To</w:t>
      </w:r>
      <w:r w:rsidRPr="0B2736D5">
        <w:rPr>
          <w:rFonts w:ascii="Times New Roman" w:eastAsia="Times New Roman" w:hAnsi="Times New Roman" w:cs="Times New Roman"/>
        </w:rPr>
        <w:t xml:space="preserve"> obtain the total number of researchers currently in either an academic or industry setting, we utilized NSF’s Survey of Doctorate Recipients (SDR)</w:t>
      </w:r>
      <w:r>
        <w:rPr>
          <w:rFonts w:ascii="Times New Roman" w:eastAsia="Times New Roman" w:hAnsi="Times New Roman" w:cs="Times New Roman"/>
        </w:rPr>
        <w:fldChar w:fldCharType="begin"/>
      </w:r>
      <w:r w:rsidR="00C94303">
        <w:rPr>
          <w:rFonts w:ascii="Times New Roman" w:eastAsia="Times New Roman" w:hAnsi="Times New Roman" w:cs="Times New Roman"/>
        </w:rPr>
        <w:instrText xml:space="preserve"> ADDIN ZOTERO_ITEM CSL_CITATION {"citationID":"dmEadenP","properties":{"formattedCitation":"\\super 3\\nosupersub{}","plainCitation":"3","noteIndex":0},"citationItems":[{"id":2772,"uris":["http://zotero.org/groups/5885644/items/3S4Q2JVP"],"itemData":{"id":2772,"type":"dataset","event-place":"Alexandria, VA","number":"NSF 25-321","publisher":"U.S. National Science Foundation","publisher-place":"Alexandria, VA","title":"Survey of Doctorate Recipients: 2023","URL":"https://ncses.nsf.gov/surveys/doctorate-recipients/2023","author":[{"literal":"National Center for Science and Engineering Statistics (NCSES)"}],"issued":{"date-parts":[["2025"]]}}}],"schema":"https://github.com/citation-style-language/schema/raw/master/csl-citation.json"} </w:instrText>
      </w:r>
      <w:r>
        <w:rPr>
          <w:rFonts w:ascii="Times New Roman" w:eastAsia="Times New Roman" w:hAnsi="Times New Roman" w:cs="Times New Roman"/>
        </w:rPr>
        <w:fldChar w:fldCharType="separate"/>
      </w:r>
      <w:r w:rsidR="00C94303" w:rsidRPr="00C94303">
        <w:rPr>
          <w:rFonts w:ascii="Times New Roman" w:hAnsi="Times New Roman" w:cs="Times New Roman"/>
          <w:kern w:val="0"/>
          <w:vertAlign w:val="superscript"/>
        </w:rPr>
        <w:t>3</w:t>
      </w:r>
      <w:r>
        <w:rPr>
          <w:rFonts w:ascii="Times New Roman" w:eastAsia="Times New Roman" w:hAnsi="Times New Roman" w:cs="Times New Roman"/>
        </w:rPr>
        <w:fldChar w:fldCharType="end"/>
      </w:r>
      <w:r w:rsidRPr="5164FE81">
        <w:rPr>
          <w:rFonts w:ascii="Times New Roman" w:eastAsia="Times New Roman" w:hAnsi="Times New Roman" w:cs="Times New Roman"/>
        </w:rPr>
        <w:t xml:space="preserve"> for the select years available. To begin, we obtained the total number of doctorate recipients residing in the U.S. whose primary or secondary work activity is </w:t>
      </w:r>
      <w:r w:rsidRPr="4CAAB604">
        <w:rPr>
          <w:rFonts w:ascii="Times New Roman" w:eastAsia="Times New Roman" w:hAnsi="Times New Roman" w:cs="Times New Roman"/>
        </w:rPr>
        <w:t>any research</w:t>
      </w:r>
      <w:r w:rsidRPr="5164FE81">
        <w:rPr>
          <w:rFonts w:ascii="Times New Roman" w:eastAsia="Times New Roman" w:hAnsi="Times New Roman" w:cs="Times New Roman"/>
        </w:rPr>
        <w:t xml:space="preserve"> and development (R&amp;D) using Table </w:t>
      </w:r>
      <w:r w:rsidRPr="68FC144E">
        <w:rPr>
          <w:rFonts w:ascii="Times New Roman" w:eastAsia="Times New Roman" w:hAnsi="Times New Roman" w:cs="Times New Roman"/>
        </w:rPr>
        <w:t xml:space="preserve">15-1. </w:t>
      </w:r>
      <w:r w:rsidRPr="11089C45">
        <w:rPr>
          <w:rFonts w:ascii="Times New Roman" w:eastAsia="Times New Roman" w:hAnsi="Times New Roman" w:cs="Times New Roman"/>
          <w:i/>
        </w:rPr>
        <w:t xml:space="preserve">U.S. residing employed doctoral scientists and engineers, by fine field of doctorate and primary or secondary work activity: </w:t>
      </w:r>
      <w:r w:rsidRPr="11089C45">
        <w:rPr>
          <w:rFonts w:ascii="Times New Roman" w:eastAsia="Times New Roman" w:hAnsi="Times New Roman" w:cs="Times New Roman"/>
          <w:i/>
          <w:iCs/>
        </w:rPr>
        <w:t>2023</w:t>
      </w:r>
      <w:r w:rsidRPr="11089C45">
        <w:rPr>
          <w:rFonts w:ascii="Times New Roman" w:eastAsia="Times New Roman" w:hAnsi="Times New Roman" w:cs="Times New Roman"/>
        </w:rPr>
        <w:t>.</w:t>
      </w:r>
      <w:r w:rsidRPr="5164FE81">
        <w:rPr>
          <w:rFonts w:ascii="Times New Roman" w:eastAsia="Times New Roman" w:hAnsi="Times New Roman" w:cs="Times New Roman"/>
        </w:rPr>
        <w:t xml:space="preserve"> </w:t>
      </w:r>
      <w:r w:rsidRPr="6BA2AC4D">
        <w:rPr>
          <w:rFonts w:ascii="Times New Roman" w:eastAsia="Times New Roman" w:hAnsi="Times New Roman" w:cs="Times New Roman"/>
        </w:rPr>
        <w:t>We</w:t>
      </w:r>
      <w:r w:rsidRPr="5164FE81">
        <w:rPr>
          <w:rFonts w:ascii="Times New Roman" w:eastAsia="Times New Roman" w:hAnsi="Times New Roman" w:cs="Times New Roman"/>
        </w:rPr>
        <w:t xml:space="preserve"> obtained the breakdowns of academic researchers by identifying doctorate </w:t>
      </w:r>
      <w:r w:rsidRPr="7CEB8562">
        <w:rPr>
          <w:rFonts w:ascii="Times New Roman" w:eastAsia="Times New Roman" w:hAnsi="Times New Roman" w:cs="Times New Roman"/>
        </w:rPr>
        <w:t>recipients</w:t>
      </w:r>
      <w:r w:rsidRPr="2FAFA20F">
        <w:rPr>
          <w:rFonts w:ascii="Times New Roman" w:eastAsia="Times New Roman" w:hAnsi="Times New Roman" w:cs="Times New Roman"/>
        </w:rPr>
        <w:t xml:space="preserve"> </w:t>
      </w:r>
      <w:r w:rsidRPr="771B1C1F">
        <w:rPr>
          <w:rFonts w:ascii="Times New Roman" w:eastAsia="Times New Roman" w:hAnsi="Times New Roman" w:cs="Times New Roman"/>
        </w:rPr>
        <w:t xml:space="preserve">whose primary </w:t>
      </w:r>
      <w:r w:rsidRPr="7E6CE034">
        <w:rPr>
          <w:rFonts w:ascii="Times New Roman" w:eastAsia="Times New Roman" w:hAnsi="Times New Roman" w:cs="Times New Roman"/>
        </w:rPr>
        <w:t xml:space="preserve">or secondary work </w:t>
      </w:r>
      <w:r w:rsidRPr="0EC9E8E2">
        <w:rPr>
          <w:rFonts w:ascii="Times New Roman" w:eastAsia="Times New Roman" w:hAnsi="Times New Roman" w:cs="Times New Roman"/>
        </w:rPr>
        <w:t>is R&amp;</w:t>
      </w:r>
      <w:r w:rsidRPr="461C312D">
        <w:rPr>
          <w:rFonts w:ascii="Times New Roman" w:eastAsia="Times New Roman" w:hAnsi="Times New Roman" w:cs="Times New Roman"/>
        </w:rPr>
        <w:t xml:space="preserve">D in a </w:t>
      </w:r>
      <w:r w:rsidRPr="4FC0501A">
        <w:rPr>
          <w:rFonts w:ascii="Times New Roman" w:eastAsia="Times New Roman" w:hAnsi="Times New Roman" w:cs="Times New Roman"/>
        </w:rPr>
        <w:t xml:space="preserve">four-year </w:t>
      </w:r>
      <w:r w:rsidRPr="2C7D3B29">
        <w:rPr>
          <w:rFonts w:ascii="Times New Roman" w:eastAsia="Times New Roman" w:hAnsi="Times New Roman" w:cs="Times New Roman"/>
        </w:rPr>
        <w:t>institution</w:t>
      </w:r>
      <w:r w:rsidRPr="61A38E86">
        <w:rPr>
          <w:rFonts w:ascii="Times New Roman" w:eastAsia="Times New Roman" w:hAnsi="Times New Roman" w:cs="Times New Roman"/>
        </w:rPr>
        <w:t xml:space="preserve"> </w:t>
      </w:r>
      <w:r w:rsidRPr="6E11C43A">
        <w:rPr>
          <w:rFonts w:ascii="Times New Roman" w:eastAsia="Times New Roman" w:hAnsi="Times New Roman" w:cs="Times New Roman"/>
        </w:rPr>
        <w:t xml:space="preserve">using </w:t>
      </w:r>
      <w:r w:rsidRPr="6CE608E4">
        <w:rPr>
          <w:rFonts w:ascii="Times New Roman" w:eastAsia="Times New Roman" w:hAnsi="Times New Roman" w:cs="Times New Roman"/>
        </w:rPr>
        <w:t xml:space="preserve">Table </w:t>
      </w:r>
      <w:r w:rsidRPr="0C1A9F6D">
        <w:rPr>
          <w:rFonts w:ascii="Times New Roman" w:eastAsia="Times New Roman" w:hAnsi="Times New Roman" w:cs="Times New Roman"/>
        </w:rPr>
        <w:t>23</w:t>
      </w:r>
      <w:r w:rsidRPr="1B12A9E4">
        <w:rPr>
          <w:rFonts w:ascii="Times New Roman" w:eastAsia="Times New Roman" w:hAnsi="Times New Roman" w:cs="Times New Roman"/>
        </w:rPr>
        <w:t>.</w:t>
      </w:r>
      <w:r w:rsidRPr="0B2736D5">
        <w:rPr>
          <w:rFonts w:ascii="Times New Roman" w:eastAsia="Times New Roman" w:hAnsi="Times New Roman" w:cs="Times New Roman"/>
        </w:rPr>
        <w:t xml:space="preserve"> </w:t>
      </w:r>
      <w:r w:rsidRPr="348F72F9">
        <w:rPr>
          <w:rFonts w:ascii="Times New Roman" w:eastAsia="Times New Roman" w:hAnsi="Times New Roman" w:cs="Times New Roman"/>
          <w:i/>
        </w:rPr>
        <w:t>U.S. residing employed doctoral scientists and engineers in 4-year educational institutions, by broad field of doctorate, primary work activity, and secondary work activity: 2023</w:t>
      </w:r>
      <w:r w:rsidRPr="50127A9D">
        <w:rPr>
          <w:rFonts w:ascii="Times New Roman" w:eastAsia="Times New Roman" w:hAnsi="Times New Roman" w:cs="Times New Roman"/>
        </w:rPr>
        <w:t>,</w:t>
      </w:r>
      <w:r w:rsidRPr="0B2736D5">
        <w:rPr>
          <w:rFonts w:ascii="Times New Roman" w:eastAsia="Times New Roman" w:hAnsi="Times New Roman" w:cs="Times New Roman"/>
        </w:rPr>
        <w:t xml:space="preserve"> and the equivalent tables for previous years, with most information derived from archived </w:t>
      </w:r>
      <w:r w:rsidRPr="0B2736D5">
        <w:rPr>
          <w:rFonts w:ascii="Times New Roman" w:eastAsia="Times New Roman" w:hAnsi="Times New Roman" w:cs="Times New Roman"/>
        </w:rPr>
        <w:lastRenderedPageBreak/>
        <w:t xml:space="preserve">reports. </w:t>
      </w:r>
      <w:r w:rsidRPr="086FECB9">
        <w:rPr>
          <w:rFonts w:ascii="Times New Roman" w:eastAsia="Times New Roman" w:hAnsi="Times New Roman" w:cs="Times New Roman"/>
        </w:rPr>
        <w:t xml:space="preserve">We then estimate the number of </w:t>
      </w:r>
      <w:r w:rsidRPr="77E26197">
        <w:rPr>
          <w:rFonts w:ascii="Times New Roman" w:eastAsia="Times New Roman" w:hAnsi="Times New Roman" w:cs="Times New Roman"/>
        </w:rPr>
        <w:t xml:space="preserve">industry </w:t>
      </w:r>
      <w:r w:rsidRPr="5F3F88EC">
        <w:rPr>
          <w:rFonts w:ascii="Times New Roman" w:eastAsia="Times New Roman" w:hAnsi="Times New Roman" w:cs="Times New Roman"/>
        </w:rPr>
        <w:t>researchers</w:t>
      </w:r>
      <w:r w:rsidRPr="24B4418E">
        <w:rPr>
          <w:rFonts w:ascii="Times New Roman" w:eastAsia="Times New Roman" w:hAnsi="Times New Roman" w:cs="Times New Roman"/>
        </w:rPr>
        <w:t xml:space="preserve"> by</w:t>
      </w:r>
      <w:r w:rsidRPr="5F3F88EC">
        <w:rPr>
          <w:rFonts w:ascii="Times New Roman" w:eastAsia="Times New Roman" w:hAnsi="Times New Roman" w:cs="Times New Roman"/>
        </w:rPr>
        <w:t xml:space="preserve"> </w:t>
      </w:r>
      <w:r w:rsidRPr="5C079866">
        <w:rPr>
          <w:rFonts w:ascii="Times New Roman" w:eastAsia="Times New Roman" w:hAnsi="Times New Roman" w:cs="Times New Roman"/>
        </w:rPr>
        <w:t>assuming</w:t>
      </w:r>
      <w:r w:rsidRPr="2BACAFE9">
        <w:rPr>
          <w:rFonts w:ascii="Times New Roman" w:eastAsia="Times New Roman" w:hAnsi="Times New Roman" w:cs="Times New Roman"/>
        </w:rPr>
        <w:t xml:space="preserve"> </w:t>
      </w:r>
      <w:r w:rsidRPr="483D6300">
        <w:rPr>
          <w:rFonts w:ascii="Times New Roman" w:eastAsia="Times New Roman" w:hAnsi="Times New Roman" w:cs="Times New Roman"/>
        </w:rPr>
        <w:t xml:space="preserve">that </w:t>
      </w:r>
      <w:r w:rsidRPr="425D085E">
        <w:rPr>
          <w:rFonts w:ascii="Times New Roman" w:eastAsia="Times New Roman" w:hAnsi="Times New Roman" w:cs="Times New Roman"/>
        </w:rPr>
        <w:t>they make up the remaining</w:t>
      </w:r>
      <w:r w:rsidRPr="77D103FA">
        <w:rPr>
          <w:rFonts w:ascii="Times New Roman" w:eastAsia="Times New Roman" w:hAnsi="Times New Roman" w:cs="Times New Roman"/>
        </w:rPr>
        <w:t xml:space="preserve"> </w:t>
      </w:r>
      <w:r w:rsidRPr="1A72A0E7">
        <w:rPr>
          <w:rFonts w:ascii="Times New Roman" w:eastAsia="Times New Roman" w:hAnsi="Times New Roman" w:cs="Times New Roman"/>
        </w:rPr>
        <w:t xml:space="preserve">doctorate recipients </w:t>
      </w:r>
      <w:r w:rsidRPr="32786E02">
        <w:rPr>
          <w:rFonts w:ascii="Times New Roman" w:eastAsia="Times New Roman" w:hAnsi="Times New Roman" w:cs="Times New Roman"/>
        </w:rPr>
        <w:t xml:space="preserve">whose primary or </w:t>
      </w:r>
      <w:r w:rsidRPr="4411A415">
        <w:rPr>
          <w:rFonts w:ascii="Times New Roman" w:eastAsia="Times New Roman" w:hAnsi="Times New Roman" w:cs="Times New Roman"/>
        </w:rPr>
        <w:t xml:space="preserve">secondary </w:t>
      </w:r>
      <w:r w:rsidRPr="76BE410B">
        <w:rPr>
          <w:rFonts w:ascii="Times New Roman" w:eastAsia="Times New Roman" w:hAnsi="Times New Roman" w:cs="Times New Roman"/>
        </w:rPr>
        <w:t>work is</w:t>
      </w:r>
      <w:r w:rsidRPr="7640504A">
        <w:rPr>
          <w:rFonts w:ascii="Times New Roman" w:eastAsia="Times New Roman" w:hAnsi="Times New Roman" w:cs="Times New Roman"/>
        </w:rPr>
        <w:t xml:space="preserve"> R&amp;D</w:t>
      </w:r>
      <w:r w:rsidRPr="5B88D57E">
        <w:rPr>
          <w:rFonts w:ascii="Times New Roman" w:eastAsia="Times New Roman" w:hAnsi="Times New Roman" w:cs="Times New Roman"/>
        </w:rPr>
        <w:t>.</w:t>
      </w:r>
      <w:r w:rsidRPr="76BE410B">
        <w:rPr>
          <w:rFonts w:ascii="Times New Roman" w:eastAsia="Times New Roman" w:hAnsi="Times New Roman" w:cs="Times New Roman"/>
        </w:rPr>
        <w:t xml:space="preserve"> Again</w:t>
      </w:r>
      <w:r w:rsidRPr="0B2736D5">
        <w:rPr>
          <w:rFonts w:ascii="Times New Roman" w:eastAsia="Times New Roman" w:hAnsi="Times New Roman" w:cs="Times New Roman"/>
        </w:rPr>
        <w:t xml:space="preserve">, these data included only the doctorate recipients in the science, engineering, and health fields. We include limited data, as prior to 2015, the disaggregated data for doctoral scientist and engineers who are residing in the U.S. in the year of data collection and either were specified to be in the academic or industry sectors are absent. </w:t>
      </w:r>
    </w:p>
    <w:p w14:paraId="721D568F" w14:textId="63832F45" w:rsidR="006D2C4F" w:rsidRDefault="006D2C4F" w:rsidP="006D2C4F">
      <w:pPr>
        <w:rPr>
          <w:rFonts w:ascii="Times New Roman" w:eastAsia="Times New Roman" w:hAnsi="Times New Roman" w:cs="Times New Roman"/>
        </w:rPr>
      </w:pPr>
      <w:r w:rsidRPr="0B2736D5">
        <w:rPr>
          <w:rFonts w:ascii="Times New Roman" w:eastAsia="Times New Roman" w:hAnsi="Times New Roman" w:cs="Times New Roman"/>
        </w:rPr>
        <w:t>We leveraged NIH’s RePORT</w:t>
      </w:r>
      <w:r>
        <w:rPr>
          <w:rFonts w:ascii="Times New Roman" w:eastAsia="Times New Roman" w:hAnsi="Times New Roman" w:cs="Times New Roman"/>
        </w:rPr>
        <w:t xml:space="preserve"> </w:t>
      </w:r>
      <w:r w:rsidRPr="0B2736D5">
        <w:rPr>
          <w:rFonts w:ascii="Times New Roman" w:eastAsia="Times New Roman" w:hAnsi="Times New Roman" w:cs="Times New Roman"/>
        </w:rPr>
        <w:t>(Research Portfolio Online Reporting Tools)</w:t>
      </w:r>
      <w:r>
        <w:rPr>
          <w:rFonts w:ascii="Times New Roman" w:eastAsia="Times New Roman" w:hAnsi="Times New Roman" w:cs="Times New Roman"/>
        </w:rPr>
        <w:t>,</w:t>
      </w:r>
      <w:r>
        <w:rPr>
          <w:rFonts w:ascii="Times New Roman" w:eastAsia="Times New Roman" w:hAnsi="Times New Roman" w:cs="Times New Roman"/>
        </w:rPr>
        <w:fldChar w:fldCharType="begin"/>
      </w:r>
      <w:r w:rsidR="00C94303">
        <w:rPr>
          <w:rFonts w:ascii="Times New Roman" w:eastAsia="Times New Roman" w:hAnsi="Times New Roman" w:cs="Times New Roman"/>
        </w:rPr>
        <w:instrText xml:space="preserve"> ADDIN ZOTERO_ITEM CSL_CITATION {"citationID":"z7aOIpij","properties":{"formattedCitation":"\\super 4\\nosupersub{}","plainCitation":"4","noteIndex":0},"citationItems":[{"id":2776,"uris":["http://zotero.org/groups/5885644/items/JPJL8CYG"],"itemData":{"id":2776,"type":"webpage","container-title":"National Institutes of Health","title":"RePORT (Research Portfolio  Online Reporting tools)","URL":"https://report.nih.gov/","accessed":{"date-parts":[["2025",5,14]]}}}],"schema":"https://github.com/citation-style-language/schema/raw/master/csl-citation.json"} </w:instrText>
      </w:r>
      <w:r>
        <w:rPr>
          <w:rFonts w:ascii="Times New Roman" w:eastAsia="Times New Roman" w:hAnsi="Times New Roman" w:cs="Times New Roman"/>
        </w:rPr>
        <w:fldChar w:fldCharType="separate"/>
      </w:r>
      <w:r w:rsidR="00C94303" w:rsidRPr="00C94303">
        <w:rPr>
          <w:rFonts w:ascii="Times New Roman" w:hAnsi="Times New Roman" w:cs="Times New Roman"/>
          <w:kern w:val="0"/>
          <w:vertAlign w:val="superscript"/>
        </w:rPr>
        <w:t>4</w:t>
      </w:r>
      <w:r>
        <w:rPr>
          <w:rFonts w:ascii="Times New Roman" w:eastAsia="Times New Roman" w:hAnsi="Times New Roman" w:cs="Times New Roman"/>
        </w:rPr>
        <w:fldChar w:fldCharType="end"/>
      </w:r>
      <w:r w:rsidRPr="0B2736D5">
        <w:rPr>
          <w:rFonts w:ascii="Times New Roman" w:eastAsia="Times New Roman" w:hAnsi="Times New Roman" w:cs="Times New Roman"/>
        </w:rPr>
        <w:t xml:space="preserve"> NIH Data Book Report ID: 167 to identify the number of first-time and established investigators supported by research project grants funded by the NIH and NIH Data Book Report ID: 166 to derive the funding rates by career stage of investigators.</w:t>
      </w:r>
    </w:p>
    <w:p w14:paraId="6A8EAB2D" w14:textId="77777777" w:rsidR="006D2C4F" w:rsidRDefault="006D2C4F" w:rsidP="006D2C4F">
      <w:pPr>
        <w:rPr>
          <w:rFonts w:ascii="Times New Roman" w:eastAsia="Times New Roman" w:hAnsi="Times New Roman" w:cs="Times New Roman"/>
        </w:rPr>
      </w:pPr>
    </w:p>
    <w:p w14:paraId="7E49C7AB" w14:textId="4B2433D2" w:rsidR="006D2C4F" w:rsidRDefault="006D2C4F" w:rsidP="006D2C4F">
      <w:pPr>
        <w:pStyle w:val="Heading2"/>
        <w:rPr>
          <w:rFonts w:ascii="Times New Roman" w:eastAsia="Times New Roman" w:hAnsi="Times New Roman" w:cs="Times New Roman"/>
        </w:rPr>
      </w:pPr>
      <w:r w:rsidRPr="0B2736D5">
        <w:rPr>
          <w:rFonts w:ascii="Times New Roman" w:eastAsia="Times New Roman" w:hAnsi="Times New Roman" w:cs="Times New Roman"/>
        </w:rPr>
        <w:t>National Institutes of Health Budget and Grants</w:t>
      </w:r>
    </w:p>
    <w:p w14:paraId="6F7DE1A8" w14:textId="77777777" w:rsidR="006D2C4F" w:rsidRDefault="006D2C4F" w:rsidP="006D2C4F">
      <w:pPr>
        <w:rPr>
          <w:rFonts w:ascii="Times New Roman" w:eastAsia="Times New Roman" w:hAnsi="Times New Roman" w:cs="Times New Roman"/>
        </w:rPr>
      </w:pPr>
      <w:r w:rsidRPr="0B2736D5">
        <w:rPr>
          <w:rFonts w:ascii="Times New Roman" w:eastAsia="Times New Roman" w:hAnsi="Times New Roman" w:cs="Times New Roman"/>
        </w:rPr>
        <w:t>We draw all the data related to the National Institutes of Health (NIH) budget and grants from NIH’s RePORT.</w:t>
      </w:r>
    </w:p>
    <w:p w14:paraId="4B46D1A8" w14:textId="1703B2A6" w:rsidR="006D2C4F" w:rsidRDefault="006D2C4F" w:rsidP="006D2C4F">
      <w:pPr>
        <w:pStyle w:val="Heading3"/>
        <w:rPr>
          <w:rFonts w:ascii="Times New Roman" w:eastAsia="Times New Roman" w:hAnsi="Times New Roman" w:cs="Times New Roman"/>
        </w:rPr>
      </w:pPr>
      <w:r w:rsidRPr="0B2736D5">
        <w:rPr>
          <w:rFonts w:ascii="Times New Roman" w:eastAsia="Times New Roman" w:hAnsi="Times New Roman" w:cs="Times New Roman"/>
        </w:rPr>
        <w:t>Budget and costs</w:t>
      </w:r>
    </w:p>
    <w:p w14:paraId="76E5FBF6" w14:textId="77777777" w:rsidR="006D2C4F" w:rsidRDefault="006D2C4F" w:rsidP="006D2C4F">
      <w:pPr>
        <w:rPr>
          <w:rFonts w:ascii="Times New Roman" w:eastAsia="Times New Roman" w:hAnsi="Times New Roman" w:cs="Times New Roman"/>
        </w:rPr>
      </w:pPr>
      <w:r w:rsidRPr="04CDF439">
        <w:rPr>
          <w:rFonts w:ascii="Times New Roman" w:eastAsia="Times New Roman" w:hAnsi="Times New Roman" w:cs="Times New Roman"/>
        </w:rPr>
        <w:t xml:space="preserve">The annual budget is derived from the NIH Data Book Report ID: 226, where we noted the total annual budget amount. From this same report, we obtained a breakdown of the annual budget used for research grants and training grants. Furthermore, we noted the average costs, or size, in current dollars of research grants using the NIH Data Book Report ID: 115. </w:t>
      </w:r>
    </w:p>
    <w:p w14:paraId="6FFFF5B7" w14:textId="06CE89A7" w:rsidR="006D2C4F" w:rsidRDefault="006D2C4F" w:rsidP="006D2C4F">
      <w:pPr>
        <w:pStyle w:val="Heading3"/>
        <w:rPr>
          <w:rFonts w:ascii="Times New Roman" w:eastAsia="Times New Roman" w:hAnsi="Times New Roman" w:cs="Times New Roman"/>
        </w:rPr>
      </w:pPr>
      <w:r w:rsidRPr="0B2736D5">
        <w:rPr>
          <w:rFonts w:ascii="Times New Roman" w:eastAsia="Times New Roman" w:hAnsi="Times New Roman" w:cs="Times New Roman"/>
        </w:rPr>
        <w:t>Grants and projects</w:t>
      </w:r>
    </w:p>
    <w:p w14:paraId="4982564E" w14:textId="77777777" w:rsidR="006D2C4F" w:rsidRDefault="006D2C4F" w:rsidP="006D2C4F">
      <w:pPr>
        <w:rPr>
          <w:rFonts w:ascii="Times New Roman" w:eastAsia="Times New Roman" w:hAnsi="Times New Roman" w:cs="Times New Roman"/>
        </w:rPr>
      </w:pPr>
      <w:r w:rsidRPr="1E9A1D73">
        <w:rPr>
          <w:rFonts w:ascii="Times New Roman" w:eastAsia="Times New Roman" w:hAnsi="Times New Roman" w:cs="Times New Roman"/>
        </w:rPr>
        <w:t xml:space="preserve">The </w:t>
      </w:r>
      <w:r w:rsidRPr="23A8272A">
        <w:rPr>
          <w:rFonts w:ascii="Times New Roman" w:eastAsia="Times New Roman" w:hAnsi="Times New Roman" w:cs="Times New Roman"/>
        </w:rPr>
        <w:t xml:space="preserve">number of applications for </w:t>
      </w:r>
      <w:r w:rsidRPr="6365B9EB">
        <w:rPr>
          <w:rFonts w:ascii="Times New Roman" w:eastAsia="Times New Roman" w:hAnsi="Times New Roman" w:cs="Times New Roman"/>
        </w:rPr>
        <w:t xml:space="preserve">research project grants </w:t>
      </w:r>
      <w:r w:rsidRPr="71A72EB0">
        <w:rPr>
          <w:rFonts w:ascii="Times New Roman" w:eastAsia="Times New Roman" w:hAnsi="Times New Roman" w:cs="Times New Roman"/>
        </w:rPr>
        <w:t xml:space="preserve">as well as the </w:t>
      </w:r>
      <w:r w:rsidRPr="6365B9EB">
        <w:rPr>
          <w:rFonts w:ascii="Times New Roman" w:eastAsia="Times New Roman" w:hAnsi="Times New Roman" w:cs="Times New Roman"/>
        </w:rPr>
        <w:t>success</w:t>
      </w:r>
      <w:r w:rsidRPr="1E9A1D73">
        <w:rPr>
          <w:rFonts w:ascii="Times New Roman" w:eastAsia="Times New Roman" w:hAnsi="Times New Roman" w:cs="Times New Roman"/>
        </w:rPr>
        <w:t xml:space="preserve"> </w:t>
      </w:r>
      <w:r w:rsidRPr="67923280">
        <w:rPr>
          <w:rFonts w:ascii="Times New Roman" w:eastAsia="Times New Roman" w:hAnsi="Times New Roman" w:cs="Times New Roman"/>
        </w:rPr>
        <w:t>rates were</w:t>
      </w:r>
      <w:r w:rsidRPr="1C847024">
        <w:rPr>
          <w:rFonts w:ascii="Times New Roman" w:eastAsia="Times New Roman" w:hAnsi="Times New Roman" w:cs="Times New Roman"/>
        </w:rPr>
        <w:t xml:space="preserve"> </w:t>
      </w:r>
      <w:r w:rsidRPr="2A057123">
        <w:rPr>
          <w:rFonts w:ascii="Times New Roman" w:eastAsia="Times New Roman" w:hAnsi="Times New Roman" w:cs="Times New Roman"/>
        </w:rPr>
        <w:t xml:space="preserve">derived from </w:t>
      </w:r>
      <w:r w:rsidRPr="75013CE8">
        <w:rPr>
          <w:rFonts w:ascii="Times New Roman" w:eastAsia="Times New Roman" w:hAnsi="Times New Roman" w:cs="Times New Roman"/>
        </w:rPr>
        <w:t>NIH Data Book Report ID: 20</w:t>
      </w:r>
      <w:r w:rsidRPr="557B9274">
        <w:rPr>
          <w:rFonts w:ascii="Times New Roman" w:eastAsia="Times New Roman" w:hAnsi="Times New Roman" w:cs="Times New Roman"/>
        </w:rPr>
        <w:t>.</w:t>
      </w:r>
    </w:p>
    <w:p w14:paraId="2835CCAC" w14:textId="3C39305B" w:rsidR="006D2C4F" w:rsidRDefault="006D2C4F" w:rsidP="006D2C4F">
      <w:pPr>
        <w:rPr>
          <w:rFonts w:ascii="Times New Roman" w:hAnsi="Times New Roman" w:cs="Times New Roman"/>
          <w:vertAlign w:val="superscript"/>
        </w:rPr>
      </w:pPr>
      <w:r w:rsidRPr="692FFB83">
        <w:rPr>
          <w:rFonts w:ascii="Times New Roman" w:eastAsia="Times New Roman" w:hAnsi="Times New Roman" w:cs="Times New Roman"/>
        </w:rPr>
        <w:t>The</w:t>
      </w:r>
      <w:r w:rsidRPr="0B2736D5">
        <w:rPr>
          <w:rFonts w:ascii="Times New Roman" w:eastAsia="Times New Roman" w:hAnsi="Times New Roman" w:cs="Times New Roman"/>
        </w:rPr>
        <w:t xml:space="preserve"> total number of active NIH research grants is based on data from the NIH Special Reports and Current Issues Report Archive, specifically from the report titled “</w:t>
      </w:r>
      <w:r w:rsidRPr="0B2736D5">
        <w:rPr>
          <w:rFonts w:ascii="Times New Roman" w:eastAsia="Times New Roman" w:hAnsi="Times New Roman" w:cs="Times New Roman"/>
          <w:i/>
          <w:iCs/>
        </w:rPr>
        <w:t>Trends in NIH-Supported Basic, Translational, and Clinical Research: FYs 2009–2022.</w:t>
      </w:r>
      <w:r w:rsidRPr="0B2736D5">
        <w:rPr>
          <w:rFonts w:ascii="Times New Roman" w:eastAsia="Times New Roman" w:hAnsi="Times New Roman" w:cs="Times New Roman"/>
        </w:rPr>
        <w:t xml:space="preserve">” From this report, we also obtained disaggregated data of the number of fundamental research projects and applied projects supported by NIH per year. We align our definition of </w:t>
      </w:r>
      <w:r w:rsidRPr="0B2736D5">
        <w:rPr>
          <w:rFonts w:ascii="Times New Roman" w:eastAsia="Times New Roman" w:hAnsi="Times New Roman" w:cs="Times New Roman"/>
          <w:i/>
          <w:iCs/>
        </w:rPr>
        <w:t>fundamental</w:t>
      </w:r>
      <w:r w:rsidRPr="0B2736D5">
        <w:rPr>
          <w:rFonts w:ascii="Times New Roman" w:eastAsia="Times New Roman" w:hAnsi="Times New Roman" w:cs="Times New Roman"/>
        </w:rPr>
        <w:t xml:space="preserve"> research projects with NIH’s definition of </w:t>
      </w:r>
      <w:r w:rsidRPr="0B2736D5">
        <w:rPr>
          <w:rFonts w:ascii="Times New Roman" w:eastAsia="Times New Roman" w:hAnsi="Times New Roman" w:cs="Times New Roman"/>
          <w:i/>
          <w:iCs/>
        </w:rPr>
        <w:t xml:space="preserve">basic </w:t>
      </w:r>
      <w:r w:rsidRPr="0B2736D5">
        <w:rPr>
          <w:rFonts w:ascii="Times New Roman" w:eastAsia="Times New Roman" w:hAnsi="Times New Roman" w:cs="Times New Roman"/>
        </w:rPr>
        <w:t>research</w:t>
      </w:r>
      <w:r w:rsidRPr="0B2736D5">
        <w:rPr>
          <w:rFonts w:ascii="Times New Roman" w:eastAsia="Times New Roman" w:hAnsi="Times New Roman" w:cs="Times New Roman"/>
          <w:i/>
          <w:iCs/>
        </w:rPr>
        <w:t xml:space="preserve"> </w:t>
      </w:r>
      <w:r w:rsidRPr="0B2736D5">
        <w:rPr>
          <w:rFonts w:ascii="Times New Roman" w:eastAsia="Times New Roman" w:hAnsi="Times New Roman" w:cs="Times New Roman"/>
        </w:rPr>
        <w:t>projects, which entails all research that involves scientific exploration and can reveal fundamental mechanisms of biology, disease or behavior.</w:t>
      </w:r>
      <w:r w:rsidRPr="6736FDC5">
        <w:rPr>
          <w:rFonts w:ascii="Times New Roman" w:eastAsia="Times New Roman" w:hAnsi="Times New Roman" w:cs="Times New Roman"/>
        </w:rPr>
        <w:fldChar w:fldCharType="begin"/>
      </w:r>
      <w:r w:rsidR="00C94303">
        <w:rPr>
          <w:rFonts w:ascii="Times New Roman" w:eastAsia="Times New Roman" w:hAnsi="Times New Roman" w:cs="Times New Roman"/>
        </w:rPr>
        <w:instrText xml:space="preserve"> ADDIN ZOTERO_ITEM CSL_CITATION {"citationID":"hzDekfiV","properties":{"formattedCitation":"\\super 5\\nosupersub{}","plainCitation":"5","noteIndex":0},"citationItems":[{"id":2774,"uris":["http://zotero.org/groups/5885644/items/CIXPS5UW"],"itemData":{"id":2774,"type":"webpage","container-title":"National Center for Advancing Translational Sciences","title":"Translational Science Spectrum","URL":"https://ncats.nih.gov/about/about-translational-science/spectrum","accessed":{"date-parts":[["2025",5,14]]},"issued":{"date-parts":[["2025",4,30]]}}}],"schema":"https://github.com/citation-style-language/schema/raw/master/csl-citation.json"} </w:instrText>
      </w:r>
      <w:r w:rsidRPr="6736FDC5">
        <w:rPr>
          <w:rFonts w:ascii="Times New Roman" w:eastAsia="Times New Roman" w:hAnsi="Times New Roman" w:cs="Times New Roman"/>
        </w:rPr>
        <w:fldChar w:fldCharType="separate"/>
      </w:r>
      <w:r w:rsidR="00C94303" w:rsidRPr="00C94303">
        <w:rPr>
          <w:rFonts w:ascii="Times New Roman" w:hAnsi="Times New Roman" w:cs="Times New Roman"/>
          <w:kern w:val="0"/>
          <w:vertAlign w:val="superscript"/>
        </w:rPr>
        <w:t>5</w:t>
      </w:r>
      <w:r w:rsidRPr="6736FDC5">
        <w:rPr>
          <w:rFonts w:ascii="Times New Roman" w:eastAsia="Times New Roman" w:hAnsi="Times New Roman" w:cs="Times New Roman"/>
        </w:rPr>
        <w:fldChar w:fldCharType="end"/>
      </w:r>
    </w:p>
    <w:p w14:paraId="32F9B043" w14:textId="3E37443A" w:rsidR="006D2C4F" w:rsidRDefault="006D2C4F" w:rsidP="006D2C4F">
      <w:pPr>
        <w:rPr>
          <w:rFonts w:ascii="Times New Roman" w:eastAsia="Times New Roman" w:hAnsi="Times New Roman" w:cs="Times New Roman"/>
        </w:rPr>
      </w:pPr>
      <w:r w:rsidRPr="705BF9E4">
        <w:rPr>
          <w:rFonts w:ascii="Times New Roman" w:eastAsia="Times New Roman" w:hAnsi="Times New Roman" w:cs="Times New Roman"/>
        </w:rPr>
        <w:t xml:space="preserve">We used ExPORTER from RePORT to obtain the </w:t>
      </w:r>
      <w:r w:rsidRPr="6736FDC5">
        <w:rPr>
          <w:rFonts w:ascii="Times New Roman" w:eastAsia="Times New Roman" w:hAnsi="Times New Roman" w:cs="Times New Roman"/>
        </w:rPr>
        <w:t>annual</w:t>
      </w:r>
      <w:r w:rsidRPr="5A772E16">
        <w:rPr>
          <w:rFonts w:ascii="Times New Roman" w:eastAsia="Times New Roman" w:hAnsi="Times New Roman" w:cs="Times New Roman"/>
        </w:rPr>
        <w:t xml:space="preserve"> </w:t>
      </w:r>
      <w:r w:rsidRPr="705BF9E4">
        <w:rPr>
          <w:rFonts w:ascii="Times New Roman" w:eastAsia="Times New Roman" w:hAnsi="Times New Roman" w:cs="Times New Roman"/>
        </w:rPr>
        <w:t xml:space="preserve">number of published papers funded by NIH. Further, we obtained </w:t>
      </w:r>
      <w:r w:rsidRPr="008AC748">
        <w:rPr>
          <w:rFonts w:ascii="Times New Roman" w:eastAsia="Times New Roman" w:hAnsi="Times New Roman" w:cs="Times New Roman"/>
        </w:rPr>
        <w:t>annual numbers</w:t>
      </w:r>
      <w:r w:rsidRPr="705BF9E4">
        <w:rPr>
          <w:rFonts w:ascii="Times New Roman" w:eastAsia="Times New Roman" w:hAnsi="Times New Roman" w:cs="Times New Roman"/>
        </w:rPr>
        <w:t xml:space="preserve"> of published papers for basic sciences using PubMed</w:t>
      </w:r>
      <w:r>
        <w:rPr>
          <w:rFonts w:ascii="Times New Roman" w:eastAsia="Times New Roman" w:hAnsi="Times New Roman" w:cs="Times New Roman"/>
        </w:rPr>
        <w:t xml:space="preserve"> that were also funded by NIH</w:t>
      </w:r>
      <w:r w:rsidRPr="705BF9E4">
        <w:rPr>
          <w:rFonts w:ascii="Times New Roman" w:eastAsia="Times New Roman" w:hAnsi="Times New Roman" w:cs="Times New Roman"/>
        </w:rPr>
        <w:t xml:space="preserve">. Specifically, we used the following advanced search query: (cellular* [Title/Abstract] OR cell[Title/Abstract] OR animals[Title/ Abstract] OR Biologic Markers[mh] OR mice OR Polymorphism[mh] OR pathway[Title/Abstract] OR mechanism[Title/ Abstract] OR cytokine[Title/Abstract] OR signal transduction [mh] OR animal[mh] NOT clinical trial[Publication Type] NOT editorial[Publication Type] NOT Case </w:t>
      </w:r>
      <w:r w:rsidRPr="705BF9E4">
        <w:rPr>
          <w:rFonts w:ascii="Times New Roman" w:eastAsia="Times New Roman" w:hAnsi="Times New Roman" w:cs="Times New Roman"/>
        </w:rPr>
        <w:lastRenderedPageBreak/>
        <w:t>Reports[Publication Type] NOT Practice Guideline[Publication Type] NOT Comment[Publication Type]) AND (NIH[Grants and Funding</w:t>
      </w:r>
      <w:r w:rsidRPr="6736FDC5">
        <w:rPr>
          <w:rFonts w:ascii="Times New Roman" w:eastAsia="Times New Roman" w:hAnsi="Times New Roman" w:cs="Times New Roman"/>
        </w:rPr>
        <w:t>]).</w:t>
      </w:r>
      <w:r>
        <w:rPr>
          <w:rFonts w:ascii="Times New Roman" w:eastAsia="Times New Roman" w:hAnsi="Times New Roman" w:cs="Times New Roman"/>
        </w:rPr>
        <w:fldChar w:fldCharType="begin"/>
      </w:r>
      <w:r w:rsidR="00C94303">
        <w:rPr>
          <w:rFonts w:ascii="Times New Roman" w:eastAsia="Times New Roman" w:hAnsi="Times New Roman" w:cs="Times New Roman"/>
        </w:rPr>
        <w:instrText xml:space="preserve"> ADDIN ZOTERO_ITEM CSL_CITATION {"citationID":"obkbggJQ","properties":{"formattedCitation":"\\super 6\\nosupersub{}","plainCitation":"6","noteIndex":0},"citationItems":[{"id":"bSaND4Op/RazxWi5u","uris":["http://zotero.org/users/14329291/items/YH8MEDP7"],"itemData":{"id":3446,"type":"article-journal","abstract":"Explosive growth in our understanding of genomics and molecular biology have fueled calls for the pursuit of personalized medicine, the notion of harnessing biologic variability to provide patient-specific care. This vision will necessitate a deep understanding of the underlying pathophysiology in each patient. Medical journals play a pivotal role in the education of trainees and clinicians, yet we suspected that the amount of basic science in the top medical journals has been in decline. We conducted an automated search strategy in PubMed to identify basic science articles and calculated the proportion of articles dealing with basic science in the highest impact journals for 8 different medical specialties from 1994 to 2013. We observed a steep decline (40-60%) in such articles over time in almost all of the journals examined. This rapid decline in basic science from medical journals is likely to affect practitioners' understanding of and interest in the basic mechanisms of disease and therapy. In this Life Sciences Forum, we discuss why this decline may be occurring and what it means for the future of science and medicine.—Steinberg, B. E., Goldenberg, N. M., Fairn, G. D., Kuebler, W. M., Slutsky, A. S., Lee, W. L. Is basic science disappearing from medicine? The decline of biomedical research in the medical literature. FASEB J. 30, 515-518 (2016). www.fasebj.org","container-title":"The FASEB Journal","DOI":"10.1096/fj.15-281758","ISSN":"1530-6860","issue":"2","language":"en","license":"© FASEB","note":"_eprint: https://onlinelibrary.wiley.com/doi/pdf/10.1096/fj.15-281758","page":"515-518","source":"Wiley Online Library","title":"Is basic science disappearing from medicine? The decline of biomedical research in the medical literature","title-short":"Is basic science disappearing from medicine?","volume":"30","author":[{"family":"Steinberg","given":"Benjamin E."},{"family":"Goldenberg","given":"Neil M."},{"family":"Fairn","given":"Gregory D."},{"family":"Kuebler","given":"Wolfgang M."},{"family":"Slutsky","given":"Arthur S."},{"family":"Lee","given":"Warren L."}],"issued":{"date-parts":[["2016"]]}}}],"schema":"https://github.com/citation-style-language/schema/raw/master/csl-citation.json"} </w:instrText>
      </w:r>
      <w:r>
        <w:rPr>
          <w:rFonts w:ascii="Times New Roman" w:eastAsia="Times New Roman" w:hAnsi="Times New Roman" w:cs="Times New Roman"/>
        </w:rPr>
        <w:fldChar w:fldCharType="separate"/>
      </w:r>
      <w:r w:rsidR="00C94303" w:rsidRPr="00C94303">
        <w:rPr>
          <w:rFonts w:ascii="Times New Roman" w:hAnsi="Times New Roman" w:cs="Times New Roman"/>
          <w:kern w:val="0"/>
          <w:vertAlign w:val="superscript"/>
        </w:rPr>
        <w:t>6</w:t>
      </w:r>
      <w:r>
        <w:rPr>
          <w:rFonts w:ascii="Times New Roman" w:eastAsia="Times New Roman" w:hAnsi="Times New Roman" w:cs="Times New Roman"/>
        </w:rPr>
        <w:fldChar w:fldCharType="end"/>
      </w:r>
    </w:p>
    <w:p w14:paraId="2FEBC2A6" w14:textId="77777777" w:rsidR="006D2C4F" w:rsidRDefault="006D2C4F" w:rsidP="006D2C4F">
      <w:pPr>
        <w:rPr>
          <w:rFonts w:ascii="Times New Roman" w:eastAsia="Times New Roman" w:hAnsi="Times New Roman" w:cs="Times New Roman"/>
        </w:rPr>
      </w:pPr>
    </w:p>
    <w:p w14:paraId="029718A6" w14:textId="26C1A3EE" w:rsidR="006D2C4F" w:rsidRDefault="006D2C4F" w:rsidP="006D2C4F">
      <w:pPr>
        <w:pStyle w:val="Heading2"/>
        <w:rPr>
          <w:rFonts w:ascii="Times New Roman" w:eastAsia="Times New Roman" w:hAnsi="Times New Roman" w:cs="Times New Roman"/>
        </w:rPr>
      </w:pPr>
      <w:r>
        <w:rPr>
          <w:rFonts w:ascii="Times New Roman" w:eastAsia="Times New Roman" w:hAnsi="Times New Roman" w:cs="Times New Roman"/>
        </w:rPr>
        <w:t>Biomedical Innovation</w:t>
      </w:r>
    </w:p>
    <w:p w14:paraId="79995093" w14:textId="2857B038" w:rsidR="006D2C4F" w:rsidRDefault="006D2C4F" w:rsidP="006D2C4F">
      <w:pPr>
        <w:pStyle w:val="Heading3"/>
        <w:rPr>
          <w:rFonts w:ascii="Times New Roman" w:eastAsia="Times New Roman" w:hAnsi="Times New Roman" w:cs="Times New Roman"/>
        </w:rPr>
      </w:pPr>
      <w:r>
        <w:rPr>
          <w:rFonts w:ascii="Times New Roman" w:eastAsia="Times New Roman" w:hAnsi="Times New Roman" w:cs="Times New Roman"/>
        </w:rPr>
        <w:t>Clinical Trials and Patents</w:t>
      </w:r>
    </w:p>
    <w:p w14:paraId="09B5010F" w14:textId="77777777" w:rsidR="006D2C4F" w:rsidRDefault="006D2C4F" w:rsidP="006D2C4F">
      <w:pPr>
        <w:rPr>
          <w:rFonts w:ascii="Times New Roman" w:eastAsia="Times New Roman" w:hAnsi="Times New Roman" w:cs="Times New Roman"/>
        </w:rPr>
      </w:pPr>
      <w:r>
        <w:rPr>
          <w:rFonts w:ascii="Times New Roman" w:eastAsia="Times New Roman" w:hAnsi="Times New Roman" w:cs="Times New Roman"/>
        </w:rPr>
        <w:t xml:space="preserve">We </w:t>
      </w:r>
      <w:r w:rsidRPr="00994A29">
        <w:rPr>
          <w:rFonts w:ascii="Times New Roman" w:eastAsia="Times New Roman" w:hAnsi="Times New Roman" w:cs="Times New Roman"/>
        </w:rPr>
        <w:t>identified</w:t>
      </w:r>
      <w:r>
        <w:rPr>
          <w:rFonts w:ascii="Times New Roman" w:eastAsia="Times New Roman" w:hAnsi="Times New Roman" w:cs="Times New Roman"/>
        </w:rPr>
        <w:t xml:space="preserve"> annual actively registered clinical trials from </w:t>
      </w:r>
      <w:r w:rsidRPr="00994A29">
        <w:rPr>
          <w:rFonts w:ascii="Times New Roman" w:eastAsia="Times New Roman" w:hAnsi="Times New Roman" w:cs="Times New Roman"/>
        </w:rPr>
        <w:t>ClinicalTrials</w:t>
      </w:r>
      <w:r>
        <w:rPr>
          <w:rFonts w:ascii="Times New Roman" w:eastAsia="Times New Roman" w:hAnsi="Times New Roman" w:cs="Times New Roman"/>
        </w:rPr>
        <w:t xml:space="preserve">.gov by </w:t>
      </w:r>
      <w:r w:rsidRPr="00994A29">
        <w:rPr>
          <w:rFonts w:ascii="Times New Roman" w:eastAsia="Times New Roman" w:hAnsi="Times New Roman" w:cs="Times New Roman"/>
        </w:rPr>
        <w:t>applying the following filters: "</w:t>
      </w:r>
      <w:r w:rsidRPr="0073368E">
        <w:rPr>
          <w:rFonts w:ascii="Times New Roman" w:eastAsia="Times New Roman" w:hAnsi="Times New Roman" w:cs="Times New Roman"/>
        </w:rPr>
        <w:t xml:space="preserve">Study </w:t>
      </w:r>
      <w:r w:rsidRPr="00994A29">
        <w:rPr>
          <w:rFonts w:ascii="Times New Roman" w:eastAsia="Times New Roman" w:hAnsi="Times New Roman" w:cs="Times New Roman"/>
        </w:rPr>
        <w:t>Start Date</w:t>
      </w:r>
      <w:r w:rsidRPr="0073368E">
        <w:rPr>
          <w:rFonts w:ascii="Times New Roman" w:eastAsia="Times New Roman" w:hAnsi="Times New Roman" w:cs="Times New Roman"/>
        </w:rPr>
        <w:t xml:space="preserve"> on or </w:t>
      </w:r>
      <w:r w:rsidRPr="00994A29">
        <w:rPr>
          <w:rFonts w:ascii="Times New Roman" w:eastAsia="Times New Roman" w:hAnsi="Times New Roman" w:cs="Times New Roman"/>
        </w:rPr>
        <w:t>before</w:t>
      </w:r>
      <w:r w:rsidRPr="0073368E">
        <w:rPr>
          <w:rFonts w:ascii="Times New Roman" w:eastAsia="Times New Roman" w:hAnsi="Times New Roman" w:cs="Times New Roman"/>
        </w:rPr>
        <w:t xml:space="preserve"> 12/31/</w:t>
      </w:r>
      <w:r>
        <w:rPr>
          <w:rFonts w:ascii="Times New Roman" w:eastAsia="Times New Roman" w:hAnsi="Times New Roman" w:cs="Times New Roman"/>
        </w:rPr>
        <w:t>[</w:t>
      </w:r>
      <w:r w:rsidRPr="0073368E">
        <w:rPr>
          <w:rFonts w:ascii="Times New Roman" w:eastAsia="Times New Roman" w:hAnsi="Times New Roman" w:cs="Times New Roman"/>
        </w:rPr>
        <w:t>year</w:t>
      </w:r>
      <w:r w:rsidRPr="00994A29">
        <w:rPr>
          <w:rFonts w:ascii="Times New Roman" w:eastAsia="Times New Roman" w:hAnsi="Times New Roman" w:cs="Times New Roman"/>
        </w:rPr>
        <w:t>]</w:t>
      </w:r>
      <w:r>
        <w:rPr>
          <w:rFonts w:ascii="Times New Roman" w:eastAsia="Times New Roman" w:hAnsi="Times New Roman" w:cs="Times New Roman"/>
        </w:rPr>
        <w:t>,</w:t>
      </w:r>
      <w:r w:rsidRPr="00994A29">
        <w:rPr>
          <w:rFonts w:ascii="Times New Roman" w:eastAsia="Times New Roman" w:hAnsi="Times New Roman" w:cs="Times New Roman"/>
        </w:rPr>
        <w:t>"</w:t>
      </w:r>
      <w:r w:rsidRPr="0073368E">
        <w:rPr>
          <w:rFonts w:ascii="Times New Roman" w:eastAsia="Times New Roman" w:hAnsi="Times New Roman" w:cs="Times New Roman"/>
        </w:rPr>
        <w:t xml:space="preserve"> </w:t>
      </w:r>
      <w:r w:rsidRPr="00994A29">
        <w:rPr>
          <w:rFonts w:ascii="Times New Roman" w:eastAsia="Times New Roman" w:hAnsi="Times New Roman" w:cs="Times New Roman"/>
        </w:rPr>
        <w:t>"</w:t>
      </w:r>
      <w:r w:rsidRPr="0073368E">
        <w:rPr>
          <w:rFonts w:ascii="Times New Roman" w:eastAsia="Times New Roman" w:hAnsi="Times New Roman" w:cs="Times New Roman"/>
        </w:rPr>
        <w:t xml:space="preserve">Primary </w:t>
      </w:r>
      <w:r w:rsidRPr="00994A29">
        <w:rPr>
          <w:rFonts w:ascii="Times New Roman" w:eastAsia="Times New Roman" w:hAnsi="Times New Roman" w:cs="Times New Roman"/>
        </w:rPr>
        <w:t>Completion Date</w:t>
      </w:r>
      <w:r w:rsidRPr="0073368E">
        <w:rPr>
          <w:rFonts w:ascii="Times New Roman" w:eastAsia="Times New Roman" w:hAnsi="Times New Roman" w:cs="Times New Roman"/>
        </w:rPr>
        <w:t xml:space="preserve"> on or </w:t>
      </w:r>
      <w:r w:rsidRPr="00994A29">
        <w:rPr>
          <w:rFonts w:ascii="Times New Roman" w:eastAsia="Times New Roman" w:hAnsi="Times New Roman" w:cs="Times New Roman"/>
        </w:rPr>
        <w:t>after</w:t>
      </w:r>
      <w:r>
        <w:rPr>
          <w:rFonts w:ascii="Times New Roman" w:eastAsia="Times New Roman" w:hAnsi="Times New Roman" w:cs="Times New Roman"/>
        </w:rPr>
        <w:t xml:space="preserve"> </w:t>
      </w:r>
      <w:r w:rsidRPr="0073368E">
        <w:rPr>
          <w:rFonts w:ascii="Times New Roman" w:eastAsia="Times New Roman" w:hAnsi="Times New Roman" w:cs="Times New Roman"/>
        </w:rPr>
        <w:t>01/01/</w:t>
      </w:r>
      <w:r>
        <w:rPr>
          <w:rFonts w:ascii="Times New Roman" w:eastAsia="Times New Roman" w:hAnsi="Times New Roman" w:cs="Times New Roman"/>
        </w:rPr>
        <w:t>[</w:t>
      </w:r>
      <w:r w:rsidRPr="0073368E">
        <w:rPr>
          <w:rFonts w:ascii="Times New Roman" w:eastAsia="Times New Roman" w:hAnsi="Times New Roman" w:cs="Times New Roman"/>
        </w:rPr>
        <w:t>year</w:t>
      </w:r>
      <w:r w:rsidRPr="00994A29">
        <w:rPr>
          <w:rFonts w:ascii="Times New Roman" w:eastAsia="Times New Roman" w:hAnsi="Times New Roman" w:cs="Times New Roman"/>
        </w:rPr>
        <w:t>]</w:t>
      </w:r>
      <w:r>
        <w:rPr>
          <w:rFonts w:ascii="Times New Roman" w:eastAsia="Times New Roman" w:hAnsi="Times New Roman" w:cs="Times New Roman"/>
        </w:rPr>
        <w:t>, and location being the United States</w:t>
      </w:r>
      <w:r w:rsidRPr="00994A29">
        <w:rPr>
          <w:rFonts w:ascii="Times New Roman" w:eastAsia="Times New Roman" w:hAnsi="Times New Roman" w:cs="Times New Roman"/>
        </w:rPr>
        <w:t>. This approach captures trials that were active during the specified year.</w:t>
      </w:r>
      <w:r>
        <w:rPr>
          <w:rFonts w:ascii="Times New Roman" w:eastAsia="Times New Roman" w:hAnsi="Times New Roman" w:cs="Times New Roman"/>
        </w:rPr>
        <w:t xml:space="preserve"> Among these</w:t>
      </w:r>
      <w:r w:rsidRPr="00994A29">
        <w:rPr>
          <w:rFonts w:ascii="Times New Roman" w:eastAsia="Times New Roman" w:hAnsi="Times New Roman" w:cs="Times New Roman"/>
        </w:rPr>
        <w:t>, we further filtered for trials with NIH funding and recorded the corresponding annual counts.</w:t>
      </w:r>
      <w:r>
        <w:rPr>
          <w:rFonts w:ascii="Times New Roman" w:eastAsia="Times New Roman" w:hAnsi="Times New Roman" w:cs="Times New Roman"/>
        </w:rPr>
        <w:t xml:space="preserve"> We repeated the same process to obtain the inflow of new clinical trials annually, but rather used filters simply for the location being the United States and “</w:t>
      </w:r>
      <w:r w:rsidRPr="0073368E">
        <w:rPr>
          <w:rFonts w:ascii="Times New Roman" w:eastAsia="Times New Roman" w:hAnsi="Times New Roman" w:cs="Times New Roman"/>
        </w:rPr>
        <w:t xml:space="preserve">Study </w:t>
      </w:r>
      <w:r w:rsidRPr="00994A29">
        <w:rPr>
          <w:rFonts w:ascii="Times New Roman" w:eastAsia="Times New Roman" w:hAnsi="Times New Roman" w:cs="Times New Roman"/>
        </w:rPr>
        <w:t>Start Date</w:t>
      </w:r>
      <w:r w:rsidRPr="0073368E">
        <w:rPr>
          <w:rFonts w:ascii="Times New Roman" w:eastAsia="Times New Roman" w:hAnsi="Times New Roman" w:cs="Times New Roman"/>
        </w:rPr>
        <w:t xml:space="preserve"> </w:t>
      </w:r>
      <w:r>
        <w:rPr>
          <w:rFonts w:ascii="Times New Roman" w:eastAsia="Times New Roman" w:hAnsi="Times New Roman" w:cs="Times New Roman"/>
        </w:rPr>
        <w:t>fr</w:t>
      </w:r>
      <w:r w:rsidRPr="0073368E">
        <w:rPr>
          <w:rFonts w:ascii="Times New Roman" w:eastAsia="Times New Roman" w:hAnsi="Times New Roman" w:cs="Times New Roman"/>
        </w:rPr>
        <w:t>o</w:t>
      </w:r>
      <w:r>
        <w:rPr>
          <w:rFonts w:ascii="Times New Roman" w:eastAsia="Times New Roman" w:hAnsi="Times New Roman" w:cs="Times New Roman"/>
        </w:rPr>
        <w:t>m 01/01/[year]</w:t>
      </w:r>
      <w:r w:rsidRPr="0073368E">
        <w:rPr>
          <w:rFonts w:ascii="Times New Roman" w:eastAsia="Times New Roman" w:hAnsi="Times New Roman" w:cs="Times New Roman"/>
        </w:rPr>
        <w:t xml:space="preserve"> </w:t>
      </w:r>
      <w:r>
        <w:rPr>
          <w:rFonts w:ascii="Times New Roman" w:eastAsia="Times New Roman" w:hAnsi="Times New Roman" w:cs="Times New Roman"/>
        </w:rPr>
        <w:t>to</w:t>
      </w:r>
      <w:r w:rsidRPr="0073368E">
        <w:rPr>
          <w:rFonts w:ascii="Times New Roman" w:eastAsia="Times New Roman" w:hAnsi="Times New Roman" w:cs="Times New Roman"/>
        </w:rPr>
        <w:t xml:space="preserve"> 12/31/</w:t>
      </w:r>
      <w:r>
        <w:rPr>
          <w:rFonts w:ascii="Times New Roman" w:eastAsia="Times New Roman" w:hAnsi="Times New Roman" w:cs="Times New Roman"/>
        </w:rPr>
        <w:t>[</w:t>
      </w:r>
      <w:r w:rsidRPr="0073368E">
        <w:rPr>
          <w:rFonts w:ascii="Times New Roman" w:eastAsia="Times New Roman" w:hAnsi="Times New Roman" w:cs="Times New Roman"/>
        </w:rPr>
        <w:t>year</w:t>
      </w:r>
      <w:r w:rsidRPr="00994A29">
        <w:rPr>
          <w:rFonts w:ascii="Times New Roman" w:eastAsia="Times New Roman" w:hAnsi="Times New Roman" w:cs="Times New Roman"/>
        </w:rPr>
        <w:t>]</w:t>
      </w:r>
      <w:r>
        <w:rPr>
          <w:rFonts w:ascii="Times New Roman" w:eastAsia="Times New Roman" w:hAnsi="Times New Roman" w:cs="Times New Roman"/>
        </w:rPr>
        <w:t>.”</w:t>
      </w:r>
    </w:p>
    <w:p w14:paraId="7FF644FB" w14:textId="77777777" w:rsidR="006D2C4F" w:rsidRDefault="006D2C4F" w:rsidP="006D2C4F">
      <w:pPr>
        <w:rPr>
          <w:rFonts w:ascii="Times New Roman" w:eastAsia="Times New Roman" w:hAnsi="Times New Roman" w:cs="Times New Roman"/>
        </w:rPr>
      </w:pPr>
      <w:r>
        <w:rPr>
          <w:rFonts w:ascii="Times New Roman" w:eastAsia="Times New Roman" w:hAnsi="Times New Roman" w:cs="Times New Roman"/>
        </w:rPr>
        <w:t xml:space="preserve">Then, we used data from the </w:t>
      </w:r>
      <w:r w:rsidRPr="00D500EC">
        <w:rPr>
          <w:rFonts w:ascii="Times New Roman" w:eastAsia="Times New Roman" w:hAnsi="Times New Roman" w:cs="Times New Roman"/>
        </w:rPr>
        <w:t>United States Patent and Trademark Office</w:t>
      </w:r>
      <w:r>
        <w:rPr>
          <w:rFonts w:ascii="Times New Roman" w:eastAsia="Times New Roman" w:hAnsi="Times New Roman" w:cs="Times New Roman"/>
        </w:rPr>
        <w:t xml:space="preserve"> to identify the inflow of medical- or health-related patents originating from the United States using the advanced search: </w:t>
      </w:r>
      <w:r w:rsidRPr="002C72E4">
        <w:rPr>
          <w:rFonts w:ascii="Times New Roman" w:eastAsia="Times New Roman" w:hAnsi="Times New Roman" w:cs="Times New Roman"/>
        </w:rPr>
        <w:t>@py = "[year]" AND (medical.bsum. OR health.bsum.</w:t>
      </w:r>
      <w:r>
        <w:rPr>
          <w:rFonts w:ascii="Times New Roman" w:eastAsia="Times New Roman" w:hAnsi="Times New Roman" w:cs="Times New Roman"/>
        </w:rPr>
        <w:t xml:space="preserve">) for every year. </w:t>
      </w:r>
    </w:p>
    <w:p w14:paraId="25C15BA7" w14:textId="699E4F29" w:rsidR="006D2C4F" w:rsidRDefault="006D2C4F" w:rsidP="006D2C4F">
      <w:pPr>
        <w:pStyle w:val="Heading3"/>
        <w:rPr>
          <w:rFonts w:ascii="Times New Roman" w:eastAsia="Times New Roman" w:hAnsi="Times New Roman" w:cs="Times New Roman"/>
        </w:rPr>
      </w:pPr>
      <w:r>
        <w:rPr>
          <w:rFonts w:ascii="Times New Roman" w:eastAsia="Times New Roman" w:hAnsi="Times New Roman" w:cs="Times New Roman"/>
        </w:rPr>
        <w:t>FDA New Drug Application and Device Approvals</w:t>
      </w:r>
    </w:p>
    <w:p w14:paraId="05E5E2EC" w14:textId="4969222D" w:rsidR="006D2C4F" w:rsidRPr="002C72E4" w:rsidRDefault="006D2C4F" w:rsidP="006D2C4F">
      <w:r w:rsidRPr="04CDF439">
        <w:rPr>
          <w:rFonts w:ascii="Times New Roman" w:eastAsia="Times New Roman" w:hAnsi="Times New Roman" w:cs="Times New Roman"/>
        </w:rPr>
        <w:t>We identified annual new drug and device application approvals from various sources of the Food Drug Administration (FDA). Primarily, we obtained the number of new drug applications, new molecular entities,</w:t>
      </w:r>
      <w:r w:rsidRPr="04CDF439">
        <w:rPr>
          <w:rFonts w:ascii="Times New Roman" w:eastAsia="Times New Roman" w:hAnsi="Times New Roman" w:cs="Times New Roman"/>
        </w:rPr>
        <w:fldChar w:fldCharType="begin"/>
      </w:r>
      <w:r w:rsidR="00C94303">
        <w:rPr>
          <w:rFonts w:ascii="Times New Roman" w:eastAsia="Times New Roman" w:hAnsi="Times New Roman" w:cs="Times New Roman"/>
        </w:rPr>
        <w:instrText xml:space="preserve"> ADDIN ZOTERO_ITEM CSL_CITATION {"citationID":"tG9TzhZp","properties":{"formattedCitation":"\\super 7\\nosupersub{}","plainCitation":"7","noteIndex":0},"citationItems":[{"id":2778,"uris":["http://zotero.org/groups/5885644/items/SYFMMAMF"],"itemData":{"id":2778,"type":"report","abstract":"Running account of number of New Drug Applications received and approved since 1938.","language":"en","note":"publisher: FDA","publisher":"U.S. Food &amp; Drug Administration","source":"www.fda.gov","title":"Summary of NDA Approvals &amp; Receipts, 1938 to the present","URL":"https://www.fda.gov/about-fda/histories-fda-regulated-products/summary-nda-approvals-receipts-1938-present","accessed":{"date-parts":[["2025",5,16]]},"issued":{"date-parts":[["2018",1,31]]}}}],"schema":"https://github.com/citation-style-language/schema/raw/master/csl-citation.json"} </w:instrText>
      </w:r>
      <w:r w:rsidRPr="04CDF439">
        <w:rPr>
          <w:rFonts w:ascii="Times New Roman" w:eastAsia="Times New Roman" w:hAnsi="Times New Roman" w:cs="Times New Roman"/>
        </w:rPr>
        <w:fldChar w:fldCharType="separate"/>
      </w:r>
      <w:r w:rsidR="00C94303" w:rsidRPr="00C94303">
        <w:rPr>
          <w:rFonts w:ascii="Times New Roman" w:hAnsi="Times New Roman" w:cs="Times New Roman"/>
          <w:kern w:val="0"/>
          <w:vertAlign w:val="superscript"/>
        </w:rPr>
        <w:t>7</w:t>
      </w:r>
      <w:r w:rsidRPr="04CDF439">
        <w:rPr>
          <w:rFonts w:ascii="Times New Roman" w:eastAsia="Times New Roman" w:hAnsi="Times New Roman" w:cs="Times New Roman"/>
        </w:rPr>
        <w:fldChar w:fldCharType="end"/>
      </w:r>
      <w:r w:rsidRPr="04CDF439">
        <w:rPr>
          <w:rFonts w:ascii="Times New Roman" w:eastAsia="Times New Roman" w:hAnsi="Times New Roman" w:cs="Times New Roman"/>
        </w:rPr>
        <w:t xml:space="preserve"> and biological device application</w:t>
      </w:r>
      <w:r w:rsidRPr="04CDF439">
        <w:rPr>
          <w:rFonts w:ascii="Times New Roman" w:eastAsia="Times New Roman" w:hAnsi="Times New Roman" w:cs="Times New Roman"/>
        </w:rPr>
        <w:fldChar w:fldCharType="begin"/>
      </w:r>
      <w:r w:rsidR="00C94303">
        <w:rPr>
          <w:rFonts w:ascii="Times New Roman" w:eastAsia="Times New Roman" w:hAnsi="Times New Roman" w:cs="Times New Roman"/>
        </w:rPr>
        <w:instrText xml:space="preserve"> ADDIN ZOTERO_ITEM CSL_CITATION {"citationID":"LDb76cNz","properties":{"formattedCitation":"\\super 8\\nosupersub{}","plainCitation":"8","noteIndex":0},"citationItems":[{"id":2780,"uris":["http://zotero.org/groups/5885644/items/9HC2D3IV"],"itemData":{"id":2780,"type":"report","abstract":"A collection of biological approval information organized by year and regulatory authorities.","language":"en","note":"publisher: FDA","publisher":"U.S. Food &amp; Drug Administration","source":"www.fda.gov","title":"Biological Approvals by Year","URL":"https://www.fda.gov/vaccines-blood-biologics/development-approval-process-cber/biological-approvals-year","accessed":{"date-parts":[["2025",5,16]]},"issued":{"date-parts":[["2025",2,21]]}}}],"schema":"https://github.com/citation-style-language/schema/raw/master/csl-citation.json"} </w:instrText>
      </w:r>
      <w:r w:rsidRPr="04CDF439">
        <w:rPr>
          <w:rFonts w:ascii="Times New Roman" w:eastAsia="Times New Roman" w:hAnsi="Times New Roman" w:cs="Times New Roman"/>
        </w:rPr>
        <w:fldChar w:fldCharType="separate"/>
      </w:r>
      <w:r w:rsidR="00C94303" w:rsidRPr="00C94303">
        <w:rPr>
          <w:rFonts w:ascii="Times New Roman" w:hAnsi="Times New Roman" w:cs="Times New Roman"/>
          <w:kern w:val="0"/>
          <w:vertAlign w:val="superscript"/>
        </w:rPr>
        <w:t>8</w:t>
      </w:r>
      <w:r w:rsidRPr="04CDF439">
        <w:rPr>
          <w:rFonts w:ascii="Times New Roman" w:eastAsia="Times New Roman" w:hAnsi="Times New Roman" w:cs="Times New Roman"/>
        </w:rPr>
        <w:fldChar w:fldCharType="end"/>
      </w:r>
      <w:r w:rsidRPr="04CDF439">
        <w:rPr>
          <w:rFonts w:ascii="Times New Roman" w:eastAsia="Times New Roman" w:hAnsi="Times New Roman" w:cs="Times New Roman"/>
        </w:rPr>
        <w:t xml:space="preserve"> approvals from FDA. The biological approvals are medical devices involved in the collection, processing, testing, manufacture and administration of blood, blood components and cellular products, approved or cleared by the Center for Biologics Evaluation and Research.</w:t>
      </w:r>
      <w:r w:rsidRPr="04CDF439">
        <w:rPr>
          <w:rFonts w:ascii="Times New Roman" w:eastAsia="Times New Roman" w:hAnsi="Times New Roman" w:cs="Times New Roman"/>
        </w:rPr>
        <w:fldChar w:fldCharType="begin"/>
      </w:r>
      <w:r w:rsidR="00C94303">
        <w:rPr>
          <w:rFonts w:ascii="Times New Roman" w:eastAsia="Times New Roman" w:hAnsi="Times New Roman" w:cs="Times New Roman"/>
        </w:rPr>
        <w:instrText xml:space="preserve"> ADDIN ZOTERO_ITEM CSL_CITATION {"citationID":"rYqDghiR","properties":{"formattedCitation":"\\super 8\\nosupersub{}","plainCitation":"8","noteIndex":0},"citationItems":[{"id":2780,"uris":["http://zotero.org/groups/5885644/items/9HC2D3IV"],"itemData":{"id":2780,"type":"report","abstract":"A collection of biological approval information organized by year and regulatory authorities.","language":"en","note":"publisher: FDA","publisher":"U.S. Food &amp; Drug Administration","source":"www.fda.gov","title":"Biological Approvals by Year","URL":"https://www.fda.gov/vaccines-blood-biologics/development-approval-process-cber/biological-approvals-year","accessed":{"date-parts":[["2025",5,16]]},"issued":{"date-parts":[["2025",2,21]]}}}],"schema":"https://github.com/citation-style-language/schema/raw/master/csl-citation.json"} </w:instrText>
      </w:r>
      <w:r w:rsidRPr="04CDF439">
        <w:rPr>
          <w:rFonts w:ascii="Times New Roman" w:eastAsia="Times New Roman" w:hAnsi="Times New Roman" w:cs="Times New Roman"/>
        </w:rPr>
        <w:fldChar w:fldCharType="separate"/>
      </w:r>
      <w:r w:rsidR="00C94303" w:rsidRPr="00C94303">
        <w:rPr>
          <w:rFonts w:ascii="Times New Roman" w:hAnsi="Times New Roman" w:cs="Times New Roman"/>
          <w:kern w:val="0"/>
          <w:vertAlign w:val="superscript"/>
        </w:rPr>
        <w:t>8</w:t>
      </w:r>
      <w:r w:rsidRPr="04CDF439">
        <w:rPr>
          <w:rFonts w:ascii="Times New Roman" w:eastAsia="Times New Roman" w:hAnsi="Times New Roman" w:cs="Times New Roman"/>
        </w:rPr>
        <w:fldChar w:fldCharType="end"/>
      </w:r>
    </w:p>
    <w:p w14:paraId="5F3F35A0" w14:textId="77777777" w:rsidR="006D2C4F" w:rsidRDefault="006D2C4F" w:rsidP="006D2C4F">
      <w:pPr>
        <w:rPr>
          <w:rFonts w:ascii="Times New Roman" w:eastAsia="Times New Roman" w:hAnsi="Times New Roman" w:cs="Times New Roman"/>
        </w:rPr>
      </w:pPr>
    </w:p>
    <w:p w14:paraId="7CEAC441" w14:textId="4449A2CF" w:rsidR="00801725" w:rsidRPr="00E826A4" w:rsidRDefault="00FC697C" w:rsidP="00FE74A3">
      <w:pPr>
        <w:spacing w:line="240" w:lineRule="auto"/>
        <w:ind w:left="-720"/>
      </w:pPr>
      <w:r w:rsidRPr="00FC697C">
        <w:rPr>
          <w:noProof/>
        </w:rPr>
        <w:lastRenderedPageBreak/>
        <w:drawing>
          <wp:inline distT="0" distB="0" distL="0" distR="0" wp14:anchorId="41450DCD" wp14:editId="2546A242">
            <wp:extent cx="6387544" cy="3769743"/>
            <wp:effectExtent l="0" t="0" r="0" b="2540"/>
            <wp:docPr id="7862796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94582" cy="3773896"/>
                    </a:xfrm>
                    <a:prstGeom prst="rect">
                      <a:avLst/>
                    </a:prstGeom>
                    <a:noFill/>
                    <a:ln>
                      <a:noFill/>
                    </a:ln>
                  </pic:spPr>
                </pic:pic>
              </a:graphicData>
            </a:graphic>
          </wp:inline>
        </w:drawing>
      </w:r>
    </w:p>
    <w:p w14:paraId="19C78113" w14:textId="77777777" w:rsidR="00924B62" w:rsidRPr="00E826A4" w:rsidRDefault="00924B62" w:rsidP="00FE74A3">
      <w:pPr>
        <w:spacing w:line="240" w:lineRule="auto"/>
        <w:ind w:left="-720"/>
      </w:pPr>
      <w:r w:rsidRPr="00E826A4">
        <w:rPr>
          <w:b/>
        </w:rPr>
        <w:t>Figure S1</w:t>
      </w:r>
      <w:r w:rsidRPr="00E826A4">
        <w:t>: Model fit to historical data</w:t>
      </w:r>
    </w:p>
    <w:p w14:paraId="4FF8A2B4" w14:textId="77777777" w:rsidR="00924B62" w:rsidRDefault="00924B62" w:rsidP="00801725">
      <w:pPr>
        <w:spacing w:line="240" w:lineRule="auto"/>
        <w:rPr>
          <w:b/>
          <w:bCs/>
        </w:rPr>
      </w:pPr>
    </w:p>
    <w:p w14:paraId="7A6FC61A" w14:textId="7516A79E" w:rsidR="002C4415" w:rsidRDefault="002C4415" w:rsidP="002C4415">
      <w:pPr>
        <w:spacing w:line="240" w:lineRule="auto"/>
        <w:ind w:left="-720"/>
        <w:rPr>
          <w:b/>
          <w:bCs/>
        </w:rPr>
      </w:pPr>
      <w:r w:rsidRPr="00E826A4">
        <w:rPr>
          <w:noProof/>
        </w:rPr>
        <w:drawing>
          <wp:inline distT="0" distB="0" distL="0" distR="0" wp14:anchorId="01295203" wp14:editId="3DED1C7E">
            <wp:extent cx="6313694" cy="1207698"/>
            <wp:effectExtent l="0" t="0" r="0" b="0"/>
            <wp:docPr id="3261340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2542" t="77168" r="23132" b="3524"/>
                    <a:stretch>
                      <a:fillRect/>
                    </a:stretch>
                  </pic:blipFill>
                  <pic:spPr bwMode="auto">
                    <a:xfrm>
                      <a:off x="0" y="0"/>
                      <a:ext cx="6355552" cy="1215705"/>
                    </a:xfrm>
                    <a:prstGeom prst="rect">
                      <a:avLst/>
                    </a:prstGeom>
                    <a:noFill/>
                    <a:ln>
                      <a:noFill/>
                    </a:ln>
                    <a:extLst>
                      <a:ext uri="{53640926-AAD7-44D8-BBD7-CCE9431645EC}">
                        <a14:shadowObscured xmlns:a14="http://schemas.microsoft.com/office/drawing/2010/main"/>
                      </a:ext>
                    </a:extLst>
                  </pic:spPr>
                </pic:pic>
              </a:graphicData>
            </a:graphic>
          </wp:inline>
        </w:drawing>
      </w:r>
    </w:p>
    <w:p w14:paraId="5B582A3F" w14:textId="5EF506E5" w:rsidR="00842BF0" w:rsidRPr="00E826A4" w:rsidRDefault="00842BF0" w:rsidP="00842BF0">
      <w:pPr>
        <w:spacing w:line="240" w:lineRule="auto"/>
        <w:ind w:left="-720"/>
      </w:pPr>
      <w:r w:rsidRPr="00E826A4">
        <w:rPr>
          <w:b/>
        </w:rPr>
        <w:t>Figure S</w:t>
      </w:r>
      <w:r>
        <w:rPr>
          <w:b/>
        </w:rPr>
        <w:t>2</w:t>
      </w:r>
      <w:r w:rsidRPr="00E826A4">
        <w:t xml:space="preserve">: </w:t>
      </w:r>
      <w:r w:rsidR="00604C38">
        <w:t xml:space="preserve">Partial calibration </w:t>
      </w:r>
      <w:r w:rsidR="00C56C40">
        <w:t>for input time series data</w:t>
      </w:r>
    </w:p>
    <w:p w14:paraId="50AAA52C" w14:textId="77777777" w:rsidR="002C4415" w:rsidRDefault="002C4415" w:rsidP="002C4415">
      <w:pPr>
        <w:spacing w:line="240" w:lineRule="auto"/>
        <w:ind w:left="-720"/>
        <w:rPr>
          <w:b/>
          <w:bCs/>
        </w:rPr>
      </w:pPr>
    </w:p>
    <w:p w14:paraId="2BDD3D2F" w14:textId="27695B72" w:rsidR="00BA5E62" w:rsidRDefault="00276801" w:rsidP="00801725">
      <w:pPr>
        <w:spacing w:line="240" w:lineRule="auto"/>
        <w:rPr>
          <w:b/>
          <w:bCs/>
        </w:rPr>
      </w:pPr>
      <w:r w:rsidRPr="00276801">
        <w:rPr>
          <w:b/>
          <w:bCs/>
          <w:noProof/>
        </w:rPr>
        <w:lastRenderedPageBreak/>
        <w:drawing>
          <wp:inline distT="0" distB="0" distL="0" distR="0" wp14:anchorId="6AC4D89B" wp14:editId="72A6BEBD">
            <wp:extent cx="5964865" cy="7010456"/>
            <wp:effectExtent l="0" t="0" r="0" b="0"/>
            <wp:docPr id="19958878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4294" r="4828" b="3567"/>
                    <a:stretch>
                      <a:fillRect/>
                    </a:stretch>
                  </pic:blipFill>
                  <pic:spPr bwMode="auto">
                    <a:xfrm>
                      <a:off x="0" y="0"/>
                      <a:ext cx="5968209" cy="7014386"/>
                    </a:xfrm>
                    <a:prstGeom prst="rect">
                      <a:avLst/>
                    </a:prstGeom>
                    <a:noFill/>
                    <a:ln>
                      <a:noFill/>
                    </a:ln>
                    <a:extLst>
                      <a:ext uri="{53640926-AAD7-44D8-BBD7-CCE9431645EC}">
                        <a14:shadowObscured xmlns:a14="http://schemas.microsoft.com/office/drawing/2010/main"/>
                      </a:ext>
                    </a:extLst>
                  </pic:spPr>
                </pic:pic>
              </a:graphicData>
            </a:graphic>
          </wp:inline>
        </w:drawing>
      </w:r>
    </w:p>
    <w:p w14:paraId="5577E41A" w14:textId="67C7A191" w:rsidR="00906C70" w:rsidRDefault="00801725" w:rsidP="00801725">
      <w:pPr>
        <w:spacing w:line="240" w:lineRule="auto"/>
      </w:pPr>
      <w:r w:rsidRPr="00E826A4">
        <w:rPr>
          <w:b/>
          <w:bCs/>
        </w:rPr>
        <w:t>Figure S</w:t>
      </w:r>
      <w:r w:rsidR="0059359A">
        <w:rPr>
          <w:b/>
          <w:bCs/>
        </w:rPr>
        <w:t>3</w:t>
      </w:r>
      <w:r w:rsidRPr="00E826A4">
        <w:t>: Sensitivity analysis results</w:t>
      </w:r>
    </w:p>
    <w:p w14:paraId="7150DF46" w14:textId="1F962E38" w:rsidR="00801725" w:rsidRPr="00E826A4" w:rsidRDefault="00906C70" w:rsidP="00906C70">
      <w:r>
        <w:br w:type="page"/>
      </w:r>
    </w:p>
    <w:p w14:paraId="065B1458" w14:textId="15A19577" w:rsidR="00801725" w:rsidRPr="00906C70" w:rsidRDefault="00906C70" w:rsidP="00801725">
      <w:pPr>
        <w:rPr>
          <w:b/>
          <w:bCs/>
        </w:rPr>
      </w:pPr>
      <w:r w:rsidRPr="00906C70">
        <w:rPr>
          <w:b/>
          <w:bCs/>
        </w:rPr>
        <w:lastRenderedPageBreak/>
        <w:t>References</w:t>
      </w:r>
    </w:p>
    <w:p w14:paraId="277E4A9D" w14:textId="77777777" w:rsidR="00C94303" w:rsidRPr="00C94303" w:rsidRDefault="00C94303" w:rsidP="00C94303">
      <w:pPr>
        <w:pStyle w:val="Bibliography"/>
        <w:rPr>
          <w:rFonts w:ascii="Aptos" w:hAnsi="Aptos"/>
        </w:rPr>
      </w:pPr>
      <w:r>
        <w:fldChar w:fldCharType="begin"/>
      </w:r>
      <w:r>
        <w:instrText xml:space="preserve"> ADDIN ZOTERO_BIBL {"uncited":[],"omitted":[],"custom":[]} CSL_BIBLIOGRAPHY </w:instrText>
      </w:r>
      <w:r>
        <w:fldChar w:fldCharType="separate"/>
      </w:r>
      <w:r w:rsidRPr="00C94303">
        <w:rPr>
          <w:rFonts w:ascii="Aptos" w:hAnsi="Aptos"/>
        </w:rPr>
        <w:t>1.</w:t>
      </w:r>
      <w:r w:rsidRPr="00C94303">
        <w:rPr>
          <w:rFonts w:ascii="Aptos" w:hAnsi="Aptos"/>
        </w:rPr>
        <w:tab/>
        <w:t>National Center for Science and Engineering Statistics (NCSES). Survey of Graduate Students and Postdoctorates in Science and Engineering: Fall 2023. Published online 2025. https://ncses.nsf.gov/surveys/graduate-students-postdoctorates-s-e/2023</w:t>
      </w:r>
    </w:p>
    <w:p w14:paraId="330142BA" w14:textId="77777777" w:rsidR="00C94303" w:rsidRPr="00C94303" w:rsidRDefault="00C94303" w:rsidP="00C94303">
      <w:pPr>
        <w:pStyle w:val="Bibliography"/>
        <w:rPr>
          <w:rFonts w:ascii="Aptos" w:hAnsi="Aptos"/>
        </w:rPr>
      </w:pPr>
      <w:r w:rsidRPr="00C94303">
        <w:rPr>
          <w:rFonts w:ascii="Aptos" w:hAnsi="Aptos"/>
        </w:rPr>
        <w:t>2.</w:t>
      </w:r>
      <w:r w:rsidRPr="00C94303">
        <w:rPr>
          <w:rFonts w:ascii="Aptos" w:hAnsi="Aptos"/>
        </w:rPr>
        <w:tab/>
        <w:t>National Center for Science and Engineering Statistics (NCSES). Doctorate Recipients from U.S. Universities: 2023 Data Tables. Published online 2024. https://ncses.nsf.gov/surveys/earned-doctorates</w:t>
      </w:r>
    </w:p>
    <w:p w14:paraId="52699D4E" w14:textId="77777777" w:rsidR="00C94303" w:rsidRPr="00C94303" w:rsidRDefault="00C94303" w:rsidP="00C94303">
      <w:pPr>
        <w:pStyle w:val="Bibliography"/>
        <w:rPr>
          <w:rFonts w:ascii="Aptos" w:hAnsi="Aptos"/>
        </w:rPr>
      </w:pPr>
      <w:r w:rsidRPr="00C94303">
        <w:rPr>
          <w:rFonts w:ascii="Aptos" w:hAnsi="Aptos"/>
        </w:rPr>
        <w:t>3.</w:t>
      </w:r>
      <w:r w:rsidRPr="00C94303">
        <w:rPr>
          <w:rFonts w:ascii="Aptos" w:hAnsi="Aptos"/>
        </w:rPr>
        <w:tab/>
        <w:t>National Center for Science and Engineering Statistics (NCSES). Survey of Doctorate Recipients: 2023. Published online 2025. https://ncses.nsf.gov/surveys/doctorate-recipients/2023</w:t>
      </w:r>
    </w:p>
    <w:p w14:paraId="38C49AF8" w14:textId="77777777" w:rsidR="00C94303" w:rsidRPr="00C94303" w:rsidRDefault="00C94303" w:rsidP="00C94303">
      <w:pPr>
        <w:pStyle w:val="Bibliography"/>
        <w:rPr>
          <w:rFonts w:ascii="Aptos" w:hAnsi="Aptos"/>
        </w:rPr>
      </w:pPr>
      <w:r w:rsidRPr="00C94303">
        <w:rPr>
          <w:rFonts w:ascii="Aptos" w:hAnsi="Aptos"/>
        </w:rPr>
        <w:t>4.</w:t>
      </w:r>
      <w:r w:rsidRPr="00C94303">
        <w:rPr>
          <w:rFonts w:ascii="Aptos" w:hAnsi="Aptos"/>
        </w:rPr>
        <w:tab/>
        <w:t>RePORT (Research Portfolio  Online Reporting tools). National Institutes of Health. Accessed May 14, 2025. https://report.nih.gov/</w:t>
      </w:r>
    </w:p>
    <w:p w14:paraId="6979E991" w14:textId="77777777" w:rsidR="00C94303" w:rsidRPr="00C94303" w:rsidRDefault="00C94303" w:rsidP="00C94303">
      <w:pPr>
        <w:pStyle w:val="Bibliography"/>
        <w:rPr>
          <w:rFonts w:ascii="Aptos" w:hAnsi="Aptos"/>
        </w:rPr>
      </w:pPr>
      <w:r w:rsidRPr="00C94303">
        <w:rPr>
          <w:rFonts w:ascii="Aptos" w:hAnsi="Aptos"/>
        </w:rPr>
        <w:t>5.</w:t>
      </w:r>
      <w:r w:rsidRPr="00C94303">
        <w:rPr>
          <w:rFonts w:ascii="Aptos" w:hAnsi="Aptos"/>
        </w:rPr>
        <w:tab/>
        <w:t>Translational Science Spectrum. National Center for Advancing Translational Sciences. April 30, 2025. Accessed May 14, 2025. https://ncats.nih.gov/about/about-translational-science/spectrum</w:t>
      </w:r>
    </w:p>
    <w:p w14:paraId="050258D7" w14:textId="77777777" w:rsidR="00C94303" w:rsidRPr="00C94303" w:rsidRDefault="00C94303" w:rsidP="00C94303">
      <w:pPr>
        <w:pStyle w:val="Bibliography"/>
        <w:rPr>
          <w:rFonts w:ascii="Aptos" w:hAnsi="Aptos"/>
        </w:rPr>
      </w:pPr>
      <w:r w:rsidRPr="00C94303">
        <w:rPr>
          <w:rFonts w:ascii="Aptos" w:hAnsi="Aptos"/>
        </w:rPr>
        <w:t>6.</w:t>
      </w:r>
      <w:r w:rsidRPr="00C94303">
        <w:rPr>
          <w:rFonts w:ascii="Aptos" w:hAnsi="Aptos"/>
        </w:rPr>
        <w:tab/>
        <w:t xml:space="preserve">Steinberg BE, Goldenberg NM, Fairn GD, Kuebler WM, Slutsky AS, Lee WL. Is basic science disappearing from medicine? The decline of biomedical research in the medical literature. </w:t>
      </w:r>
      <w:r w:rsidRPr="00C94303">
        <w:rPr>
          <w:rFonts w:ascii="Aptos" w:hAnsi="Aptos"/>
          <w:i/>
          <w:iCs/>
        </w:rPr>
        <w:t>The FASEB Journal</w:t>
      </w:r>
      <w:r w:rsidRPr="00C94303">
        <w:rPr>
          <w:rFonts w:ascii="Aptos" w:hAnsi="Aptos"/>
        </w:rPr>
        <w:t>. 2016;30(2):515-518. doi:10.1096/fj.15-281758</w:t>
      </w:r>
    </w:p>
    <w:p w14:paraId="4616D891" w14:textId="77777777" w:rsidR="00C94303" w:rsidRPr="00C94303" w:rsidRDefault="00C94303" w:rsidP="00C94303">
      <w:pPr>
        <w:pStyle w:val="Bibliography"/>
        <w:rPr>
          <w:rFonts w:ascii="Aptos" w:hAnsi="Aptos"/>
        </w:rPr>
      </w:pPr>
      <w:r w:rsidRPr="00C94303">
        <w:rPr>
          <w:rFonts w:ascii="Aptos" w:hAnsi="Aptos"/>
        </w:rPr>
        <w:t>7.</w:t>
      </w:r>
      <w:r w:rsidRPr="00C94303">
        <w:rPr>
          <w:rFonts w:ascii="Aptos" w:hAnsi="Aptos"/>
        </w:rPr>
        <w:tab/>
      </w:r>
      <w:r w:rsidRPr="00C94303">
        <w:rPr>
          <w:rFonts w:ascii="Aptos" w:hAnsi="Aptos"/>
          <w:i/>
          <w:iCs/>
        </w:rPr>
        <w:t>Summary of NDA Approvals &amp; Receipts, 1938 to the Present</w:t>
      </w:r>
      <w:r w:rsidRPr="00C94303">
        <w:rPr>
          <w:rFonts w:ascii="Aptos" w:hAnsi="Aptos"/>
        </w:rPr>
        <w:t>. U.S. Food &amp; Drug Administration; 2018. Accessed May 16, 2025. https://www.fda.gov/about-fda/histories-fda-regulated-products/summary-nda-approvals-receipts-1938-present</w:t>
      </w:r>
    </w:p>
    <w:p w14:paraId="757F0FCF" w14:textId="77777777" w:rsidR="00C94303" w:rsidRPr="00C94303" w:rsidRDefault="00C94303" w:rsidP="00C94303">
      <w:pPr>
        <w:pStyle w:val="Bibliography"/>
        <w:rPr>
          <w:rFonts w:ascii="Aptos" w:hAnsi="Aptos"/>
        </w:rPr>
      </w:pPr>
      <w:r w:rsidRPr="00C94303">
        <w:rPr>
          <w:rFonts w:ascii="Aptos" w:hAnsi="Aptos"/>
        </w:rPr>
        <w:t>8.</w:t>
      </w:r>
      <w:r w:rsidRPr="00C94303">
        <w:rPr>
          <w:rFonts w:ascii="Aptos" w:hAnsi="Aptos"/>
        </w:rPr>
        <w:tab/>
      </w:r>
      <w:r w:rsidRPr="00C94303">
        <w:rPr>
          <w:rFonts w:ascii="Aptos" w:hAnsi="Aptos"/>
          <w:i/>
          <w:iCs/>
        </w:rPr>
        <w:t>Biological Approvals by Year</w:t>
      </w:r>
      <w:r w:rsidRPr="00C94303">
        <w:rPr>
          <w:rFonts w:ascii="Aptos" w:hAnsi="Aptos"/>
        </w:rPr>
        <w:t>. U.S. Food &amp; Drug Administration; 2025. Accessed May 16, 2025. https://www.fda.gov/vaccines-blood-biologics/development-approval-process-cber/biological-approvals-year</w:t>
      </w:r>
    </w:p>
    <w:p w14:paraId="13985206" w14:textId="755F22D7" w:rsidR="00906C70" w:rsidRPr="00801725" w:rsidRDefault="00C94303" w:rsidP="00801725">
      <w:r>
        <w:fldChar w:fldCharType="end"/>
      </w:r>
    </w:p>
    <w:sectPr w:rsidR="00906C70" w:rsidRPr="00801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7137F"/>
    <w:multiLevelType w:val="multilevel"/>
    <w:tmpl w:val="35461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55C10"/>
    <w:multiLevelType w:val="multilevel"/>
    <w:tmpl w:val="3E2A5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B25B4"/>
    <w:multiLevelType w:val="hybridMultilevel"/>
    <w:tmpl w:val="014E5B56"/>
    <w:lvl w:ilvl="0" w:tplc="6E5299DE">
      <w:start w:val="1"/>
      <w:numFmt w:val="upperLetter"/>
      <w:lvlText w:val="%1)"/>
      <w:lvlJc w:val="left"/>
      <w:pPr>
        <w:ind w:left="5760" w:hanging="360"/>
      </w:pPr>
      <w:rPr>
        <w:rFonts w:hint="default"/>
        <w:sz w:val="22"/>
        <w:szCs w:val="22"/>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 w15:restartNumberingAfterBreak="0">
    <w:nsid w:val="5FB855E8"/>
    <w:multiLevelType w:val="multilevel"/>
    <w:tmpl w:val="DEAAD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304FAA"/>
    <w:multiLevelType w:val="multilevel"/>
    <w:tmpl w:val="E754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0221565">
    <w:abstractNumId w:val="4"/>
  </w:num>
  <w:num w:numId="2" w16cid:durableId="1104765750">
    <w:abstractNumId w:val="0"/>
  </w:num>
  <w:num w:numId="3" w16cid:durableId="1359313845">
    <w:abstractNumId w:val="3"/>
  </w:num>
  <w:num w:numId="4" w16cid:durableId="183178849">
    <w:abstractNumId w:val="1"/>
  </w:num>
  <w:num w:numId="5" w16cid:durableId="641077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S3NDGwMDY2MjYH8pR0lIJTi4sz8/NACsxrAUqQ2igsAAAA"/>
  </w:docVars>
  <w:rsids>
    <w:rsidRoot w:val="00FC43C0"/>
    <w:rsid w:val="00006432"/>
    <w:rsid w:val="000102EF"/>
    <w:rsid w:val="00010428"/>
    <w:rsid w:val="00012B59"/>
    <w:rsid w:val="00015877"/>
    <w:rsid w:val="00032812"/>
    <w:rsid w:val="00035F33"/>
    <w:rsid w:val="00040DB7"/>
    <w:rsid w:val="00041DD9"/>
    <w:rsid w:val="00043E64"/>
    <w:rsid w:val="000443A6"/>
    <w:rsid w:val="0004662A"/>
    <w:rsid w:val="000502AE"/>
    <w:rsid w:val="00051E1E"/>
    <w:rsid w:val="0005787E"/>
    <w:rsid w:val="00062934"/>
    <w:rsid w:val="00064A9A"/>
    <w:rsid w:val="00067C44"/>
    <w:rsid w:val="0007199F"/>
    <w:rsid w:val="00072CAE"/>
    <w:rsid w:val="00074333"/>
    <w:rsid w:val="0007466E"/>
    <w:rsid w:val="00074F80"/>
    <w:rsid w:val="00077F4E"/>
    <w:rsid w:val="00082DE7"/>
    <w:rsid w:val="00084EF0"/>
    <w:rsid w:val="00086213"/>
    <w:rsid w:val="00087704"/>
    <w:rsid w:val="00091903"/>
    <w:rsid w:val="00093892"/>
    <w:rsid w:val="0009524E"/>
    <w:rsid w:val="00097878"/>
    <w:rsid w:val="000A0192"/>
    <w:rsid w:val="000A1428"/>
    <w:rsid w:val="000A5769"/>
    <w:rsid w:val="000B5AC3"/>
    <w:rsid w:val="000B6DE6"/>
    <w:rsid w:val="000B6DEC"/>
    <w:rsid w:val="000B7A0C"/>
    <w:rsid w:val="000B7AF2"/>
    <w:rsid w:val="000B7CF7"/>
    <w:rsid w:val="000C023B"/>
    <w:rsid w:val="000C0EA0"/>
    <w:rsid w:val="000D2754"/>
    <w:rsid w:val="000E122F"/>
    <w:rsid w:val="000E24DA"/>
    <w:rsid w:val="000E6F05"/>
    <w:rsid w:val="000F17FF"/>
    <w:rsid w:val="000F1DC2"/>
    <w:rsid w:val="000F347B"/>
    <w:rsid w:val="000F5E52"/>
    <w:rsid w:val="00107D13"/>
    <w:rsid w:val="00110901"/>
    <w:rsid w:val="001112ED"/>
    <w:rsid w:val="001117AE"/>
    <w:rsid w:val="00112020"/>
    <w:rsid w:val="0011495F"/>
    <w:rsid w:val="00120E2A"/>
    <w:rsid w:val="001213B2"/>
    <w:rsid w:val="00123642"/>
    <w:rsid w:val="00123A37"/>
    <w:rsid w:val="0012542C"/>
    <w:rsid w:val="00126B14"/>
    <w:rsid w:val="001275D9"/>
    <w:rsid w:val="0012781F"/>
    <w:rsid w:val="00134B4B"/>
    <w:rsid w:val="001363E2"/>
    <w:rsid w:val="0013729D"/>
    <w:rsid w:val="00150736"/>
    <w:rsid w:val="00151F36"/>
    <w:rsid w:val="00152384"/>
    <w:rsid w:val="00160BBC"/>
    <w:rsid w:val="00165D6C"/>
    <w:rsid w:val="001670C8"/>
    <w:rsid w:val="0016797F"/>
    <w:rsid w:val="001702A8"/>
    <w:rsid w:val="0017360D"/>
    <w:rsid w:val="00175160"/>
    <w:rsid w:val="001777D1"/>
    <w:rsid w:val="00177E7D"/>
    <w:rsid w:val="00180B80"/>
    <w:rsid w:val="001819D7"/>
    <w:rsid w:val="00182001"/>
    <w:rsid w:val="0018799C"/>
    <w:rsid w:val="0019029A"/>
    <w:rsid w:val="0019063C"/>
    <w:rsid w:val="001941FA"/>
    <w:rsid w:val="001A58B1"/>
    <w:rsid w:val="001A5987"/>
    <w:rsid w:val="001A686D"/>
    <w:rsid w:val="001A6B99"/>
    <w:rsid w:val="001A72A5"/>
    <w:rsid w:val="001B09D2"/>
    <w:rsid w:val="001B1C11"/>
    <w:rsid w:val="001B2AA1"/>
    <w:rsid w:val="001B35BE"/>
    <w:rsid w:val="001C15C4"/>
    <w:rsid w:val="001C19D0"/>
    <w:rsid w:val="001C30B5"/>
    <w:rsid w:val="001C4404"/>
    <w:rsid w:val="001C54D5"/>
    <w:rsid w:val="001C7805"/>
    <w:rsid w:val="001D0EB5"/>
    <w:rsid w:val="001D2D27"/>
    <w:rsid w:val="001D424E"/>
    <w:rsid w:val="001D4971"/>
    <w:rsid w:val="001D589C"/>
    <w:rsid w:val="001D5AF9"/>
    <w:rsid w:val="001E2016"/>
    <w:rsid w:val="001E56B0"/>
    <w:rsid w:val="001E5BA8"/>
    <w:rsid w:val="001E5BAD"/>
    <w:rsid w:val="001F1B01"/>
    <w:rsid w:val="001F3C78"/>
    <w:rsid w:val="00201946"/>
    <w:rsid w:val="00207477"/>
    <w:rsid w:val="00210B36"/>
    <w:rsid w:val="00211CB2"/>
    <w:rsid w:val="00211E50"/>
    <w:rsid w:val="00213098"/>
    <w:rsid w:val="00214417"/>
    <w:rsid w:val="00214EF6"/>
    <w:rsid w:val="00215068"/>
    <w:rsid w:val="00215F02"/>
    <w:rsid w:val="00216B1B"/>
    <w:rsid w:val="00220C4B"/>
    <w:rsid w:val="002367D2"/>
    <w:rsid w:val="0024172C"/>
    <w:rsid w:val="00244124"/>
    <w:rsid w:val="002505C9"/>
    <w:rsid w:val="0025122A"/>
    <w:rsid w:val="00254433"/>
    <w:rsid w:val="00255E5A"/>
    <w:rsid w:val="00256CBE"/>
    <w:rsid w:val="0025708D"/>
    <w:rsid w:val="00262539"/>
    <w:rsid w:val="002653E7"/>
    <w:rsid w:val="002729E4"/>
    <w:rsid w:val="00276801"/>
    <w:rsid w:val="00277182"/>
    <w:rsid w:val="00282A63"/>
    <w:rsid w:val="00292033"/>
    <w:rsid w:val="00295EAF"/>
    <w:rsid w:val="00297043"/>
    <w:rsid w:val="002A4E0F"/>
    <w:rsid w:val="002B1C72"/>
    <w:rsid w:val="002B64D4"/>
    <w:rsid w:val="002B67DF"/>
    <w:rsid w:val="002B7B26"/>
    <w:rsid w:val="002C20CC"/>
    <w:rsid w:val="002C291B"/>
    <w:rsid w:val="002C3C7A"/>
    <w:rsid w:val="002C4415"/>
    <w:rsid w:val="002C4B39"/>
    <w:rsid w:val="002C7571"/>
    <w:rsid w:val="002D4CB7"/>
    <w:rsid w:val="002E22F1"/>
    <w:rsid w:val="002E28F9"/>
    <w:rsid w:val="002E308D"/>
    <w:rsid w:val="002E3986"/>
    <w:rsid w:val="002E4338"/>
    <w:rsid w:val="002E58C1"/>
    <w:rsid w:val="002F21AD"/>
    <w:rsid w:val="002F4F47"/>
    <w:rsid w:val="002F743A"/>
    <w:rsid w:val="00301CAB"/>
    <w:rsid w:val="00302764"/>
    <w:rsid w:val="00302D3A"/>
    <w:rsid w:val="00304B42"/>
    <w:rsid w:val="00305619"/>
    <w:rsid w:val="00305852"/>
    <w:rsid w:val="003135EC"/>
    <w:rsid w:val="003167B8"/>
    <w:rsid w:val="00320576"/>
    <w:rsid w:val="00321D23"/>
    <w:rsid w:val="00321FF3"/>
    <w:rsid w:val="0032346A"/>
    <w:rsid w:val="00324F99"/>
    <w:rsid w:val="00325215"/>
    <w:rsid w:val="003259FF"/>
    <w:rsid w:val="003308E9"/>
    <w:rsid w:val="003309E3"/>
    <w:rsid w:val="00332506"/>
    <w:rsid w:val="003339AA"/>
    <w:rsid w:val="00335E2A"/>
    <w:rsid w:val="0033601A"/>
    <w:rsid w:val="0033630F"/>
    <w:rsid w:val="003365DF"/>
    <w:rsid w:val="00336A65"/>
    <w:rsid w:val="00337A8D"/>
    <w:rsid w:val="00341378"/>
    <w:rsid w:val="00341E93"/>
    <w:rsid w:val="0034227E"/>
    <w:rsid w:val="003437FD"/>
    <w:rsid w:val="00343D68"/>
    <w:rsid w:val="0034408F"/>
    <w:rsid w:val="00350248"/>
    <w:rsid w:val="00350F90"/>
    <w:rsid w:val="00352D6B"/>
    <w:rsid w:val="003572C8"/>
    <w:rsid w:val="00357BFA"/>
    <w:rsid w:val="00361FC6"/>
    <w:rsid w:val="00362995"/>
    <w:rsid w:val="00365EC3"/>
    <w:rsid w:val="00374698"/>
    <w:rsid w:val="00381413"/>
    <w:rsid w:val="00383909"/>
    <w:rsid w:val="0038394F"/>
    <w:rsid w:val="00385937"/>
    <w:rsid w:val="003926D1"/>
    <w:rsid w:val="003968A4"/>
    <w:rsid w:val="003A010F"/>
    <w:rsid w:val="003A08DE"/>
    <w:rsid w:val="003A3647"/>
    <w:rsid w:val="003A542A"/>
    <w:rsid w:val="003A7D9D"/>
    <w:rsid w:val="003B4D5F"/>
    <w:rsid w:val="003B6E64"/>
    <w:rsid w:val="003C004D"/>
    <w:rsid w:val="003C0C7D"/>
    <w:rsid w:val="003C1715"/>
    <w:rsid w:val="003C1B04"/>
    <w:rsid w:val="003C3B44"/>
    <w:rsid w:val="003C6FC8"/>
    <w:rsid w:val="003D0786"/>
    <w:rsid w:val="003D38E9"/>
    <w:rsid w:val="003D4AB9"/>
    <w:rsid w:val="003D6624"/>
    <w:rsid w:val="003D70EF"/>
    <w:rsid w:val="003E0D17"/>
    <w:rsid w:val="003E0E26"/>
    <w:rsid w:val="003E1B66"/>
    <w:rsid w:val="003E2855"/>
    <w:rsid w:val="003E51D6"/>
    <w:rsid w:val="003E6743"/>
    <w:rsid w:val="003F00F0"/>
    <w:rsid w:val="003F1C02"/>
    <w:rsid w:val="003F6607"/>
    <w:rsid w:val="004011E2"/>
    <w:rsid w:val="00401E45"/>
    <w:rsid w:val="00403A89"/>
    <w:rsid w:val="00406090"/>
    <w:rsid w:val="00414F01"/>
    <w:rsid w:val="004155BF"/>
    <w:rsid w:val="004156B7"/>
    <w:rsid w:val="004168BF"/>
    <w:rsid w:val="0042296B"/>
    <w:rsid w:val="00430942"/>
    <w:rsid w:val="00430B75"/>
    <w:rsid w:val="004318F1"/>
    <w:rsid w:val="00434F2C"/>
    <w:rsid w:val="0044497F"/>
    <w:rsid w:val="0044707A"/>
    <w:rsid w:val="00450C4B"/>
    <w:rsid w:val="00450FE2"/>
    <w:rsid w:val="004527F1"/>
    <w:rsid w:val="00453570"/>
    <w:rsid w:val="00466C36"/>
    <w:rsid w:val="00467A39"/>
    <w:rsid w:val="00467D12"/>
    <w:rsid w:val="004736A0"/>
    <w:rsid w:val="00477420"/>
    <w:rsid w:val="00477DDA"/>
    <w:rsid w:val="00480341"/>
    <w:rsid w:val="004806DD"/>
    <w:rsid w:val="0049773F"/>
    <w:rsid w:val="00497E42"/>
    <w:rsid w:val="004A6601"/>
    <w:rsid w:val="004A74A8"/>
    <w:rsid w:val="004A7D20"/>
    <w:rsid w:val="004B1A1C"/>
    <w:rsid w:val="004B282D"/>
    <w:rsid w:val="004B37BC"/>
    <w:rsid w:val="004B57B5"/>
    <w:rsid w:val="004C0152"/>
    <w:rsid w:val="004C07EF"/>
    <w:rsid w:val="004C3B57"/>
    <w:rsid w:val="004C69A2"/>
    <w:rsid w:val="004C6F5B"/>
    <w:rsid w:val="004C7709"/>
    <w:rsid w:val="004C779E"/>
    <w:rsid w:val="004C79C7"/>
    <w:rsid w:val="004D0078"/>
    <w:rsid w:val="004D124B"/>
    <w:rsid w:val="004D2B50"/>
    <w:rsid w:val="004D471C"/>
    <w:rsid w:val="004E05D4"/>
    <w:rsid w:val="004E15A7"/>
    <w:rsid w:val="004E38C1"/>
    <w:rsid w:val="004E769D"/>
    <w:rsid w:val="004F09CA"/>
    <w:rsid w:val="004F0C21"/>
    <w:rsid w:val="004F1C24"/>
    <w:rsid w:val="004F2EAA"/>
    <w:rsid w:val="004F5817"/>
    <w:rsid w:val="00500C52"/>
    <w:rsid w:val="005022D9"/>
    <w:rsid w:val="00502731"/>
    <w:rsid w:val="00502BA0"/>
    <w:rsid w:val="00506916"/>
    <w:rsid w:val="005069FA"/>
    <w:rsid w:val="00507A38"/>
    <w:rsid w:val="0051008A"/>
    <w:rsid w:val="005116D0"/>
    <w:rsid w:val="005120E0"/>
    <w:rsid w:val="00512E5E"/>
    <w:rsid w:val="0051412C"/>
    <w:rsid w:val="00521A35"/>
    <w:rsid w:val="005242CC"/>
    <w:rsid w:val="005246B3"/>
    <w:rsid w:val="00526D60"/>
    <w:rsid w:val="00532BAD"/>
    <w:rsid w:val="0053575C"/>
    <w:rsid w:val="00535E64"/>
    <w:rsid w:val="00537A97"/>
    <w:rsid w:val="00541267"/>
    <w:rsid w:val="0054132B"/>
    <w:rsid w:val="00546299"/>
    <w:rsid w:val="0054712F"/>
    <w:rsid w:val="00547C2A"/>
    <w:rsid w:val="00552B67"/>
    <w:rsid w:val="00555328"/>
    <w:rsid w:val="00556037"/>
    <w:rsid w:val="00563225"/>
    <w:rsid w:val="00564FB7"/>
    <w:rsid w:val="0056633E"/>
    <w:rsid w:val="00567875"/>
    <w:rsid w:val="005708D8"/>
    <w:rsid w:val="005733B7"/>
    <w:rsid w:val="00574831"/>
    <w:rsid w:val="005766E9"/>
    <w:rsid w:val="005808DF"/>
    <w:rsid w:val="005814C3"/>
    <w:rsid w:val="00590EEA"/>
    <w:rsid w:val="0059359A"/>
    <w:rsid w:val="00595A38"/>
    <w:rsid w:val="00595DBE"/>
    <w:rsid w:val="00596793"/>
    <w:rsid w:val="005A47AD"/>
    <w:rsid w:val="005A4872"/>
    <w:rsid w:val="005A5CF7"/>
    <w:rsid w:val="005A6966"/>
    <w:rsid w:val="005B632A"/>
    <w:rsid w:val="005B6381"/>
    <w:rsid w:val="005C14C6"/>
    <w:rsid w:val="005C2933"/>
    <w:rsid w:val="005C2CD4"/>
    <w:rsid w:val="005C34CA"/>
    <w:rsid w:val="005C3CC6"/>
    <w:rsid w:val="005C4C06"/>
    <w:rsid w:val="005D046C"/>
    <w:rsid w:val="005D4B9F"/>
    <w:rsid w:val="005D6135"/>
    <w:rsid w:val="005E0D21"/>
    <w:rsid w:val="005E24F2"/>
    <w:rsid w:val="005E3EC9"/>
    <w:rsid w:val="005E43F0"/>
    <w:rsid w:val="005E4B50"/>
    <w:rsid w:val="005F1423"/>
    <w:rsid w:val="005F19DD"/>
    <w:rsid w:val="005F409E"/>
    <w:rsid w:val="005F7471"/>
    <w:rsid w:val="00600E86"/>
    <w:rsid w:val="00602D0C"/>
    <w:rsid w:val="00604C38"/>
    <w:rsid w:val="00606268"/>
    <w:rsid w:val="00607CC6"/>
    <w:rsid w:val="0061024E"/>
    <w:rsid w:val="006109A4"/>
    <w:rsid w:val="00611C4E"/>
    <w:rsid w:val="006122D0"/>
    <w:rsid w:val="00613A78"/>
    <w:rsid w:val="00614602"/>
    <w:rsid w:val="006170CB"/>
    <w:rsid w:val="006207E7"/>
    <w:rsid w:val="0062137B"/>
    <w:rsid w:val="006254E7"/>
    <w:rsid w:val="006304F4"/>
    <w:rsid w:val="00634714"/>
    <w:rsid w:val="00640761"/>
    <w:rsid w:val="00643C22"/>
    <w:rsid w:val="00643D75"/>
    <w:rsid w:val="00643D78"/>
    <w:rsid w:val="00644942"/>
    <w:rsid w:val="0064625E"/>
    <w:rsid w:val="00646472"/>
    <w:rsid w:val="006473FC"/>
    <w:rsid w:val="00651628"/>
    <w:rsid w:val="00651FDF"/>
    <w:rsid w:val="006521DE"/>
    <w:rsid w:val="00657B7E"/>
    <w:rsid w:val="0066534C"/>
    <w:rsid w:val="006701BC"/>
    <w:rsid w:val="006800C9"/>
    <w:rsid w:val="00680673"/>
    <w:rsid w:val="00681AB8"/>
    <w:rsid w:val="00687ED0"/>
    <w:rsid w:val="006920E2"/>
    <w:rsid w:val="00693FC0"/>
    <w:rsid w:val="006951B2"/>
    <w:rsid w:val="006A01F4"/>
    <w:rsid w:val="006A26E6"/>
    <w:rsid w:val="006B2546"/>
    <w:rsid w:val="006C276E"/>
    <w:rsid w:val="006C3E2F"/>
    <w:rsid w:val="006C562F"/>
    <w:rsid w:val="006C6C41"/>
    <w:rsid w:val="006D2C4F"/>
    <w:rsid w:val="006E036D"/>
    <w:rsid w:val="006E05EB"/>
    <w:rsid w:val="006E1651"/>
    <w:rsid w:val="006E3711"/>
    <w:rsid w:val="006E6C02"/>
    <w:rsid w:val="006F45E6"/>
    <w:rsid w:val="00700008"/>
    <w:rsid w:val="007017CD"/>
    <w:rsid w:val="0070369A"/>
    <w:rsid w:val="00704979"/>
    <w:rsid w:val="0070740D"/>
    <w:rsid w:val="0070744D"/>
    <w:rsid w:val="007102B5"/>
    <w:rsid w:val="00714209"/>
    <w:rsid w:val="00714214"/>
    <w:rsid w:val="007235F6"/>
    <w:rsid w:val="00724135"/>
    <w:rsid w:val="007257A3"/>
    <w:rsid w:val="007262FA"/>
    <w:rsid w:val="00726A6D"/>
    <w:rsid w:val="00730B73"/>
    <w:rsid w:val="00733EFB"/>
    <w:rsid w:val="00733FA9"/>
    <w:rsid w:val="00734DC6"/>
    <w:rsid w:val="007460E6"/>
    <w:rsid w:val="007463CF"/>
    <w:rsid w:val="00754AE2"/>
    <w:rsid w:val="00756065"/>
    <w:rsid w:val="00756636"/>
    <w:rsid w:val="0076015F"/>
    <w:rsid w:val="00762825"/>
    <w:rsid w:val="00770C51"/>
    <w:rsid w:val="00771852"/>
    <w:rsid w:val="00771962"/>
    <w:rsid w:val="00773853"/>
    <w:rsid w:val="0077479F"/>
    <w:rsid w:val="00774A1B"/>
    <w:rsid w:val="0078092A"/>
    <w:rsid w:val="007848D3"/>
    <w:rsid w:val="00785FD5"/>
    <w:rsid w:val="00792E6C"/>
    <w:rsid w:val="00793419"/>
    <w:rsid w:val="007A1969"/>
    <w:rsid w:val="007A2596"/>
    <w:rsid w:val="007A5BCD"/>
    <w:rsid w:val="007A7B4E"/>
    <w:rsid w:val="007B6719"/>
    <w:rsid w:val="007C5680"/>
    <w:rsid w:val="007C6A82"/>
    <w:rsid w:val="007D1982"/>
    <w:rsid w:val="007D1A07"/>
    <w:rsid w:val="007D1F4B"/>
    <w:rsid w:val="007D431C"/>
    <w:rsid w:val="007D6EBD"/>
    <w:rsid w:val="007D723E"/>
    <w:rsid w:val="007D7C70"/>
    <w:rsid w:val="007E1F88"/>
    <w:rsid w:val="007E4D51"/>
    <w:rsid w:val="007E61B7"/>
    <w:rsid w:val="007E71C9"/>
    <w:rsid w:val="00801725"/>
    <w:rsid w:val="0080202A"/>
    <w:rsid w:val="00804253"/>
    <w:rsid w:val="00805018"/>
    <w:rsid w:val="008057C7"/>
    <w:rsid w:val="0080660A"/>
    <w:rsid w:val="0081153C"/>
    <w:rsid w:val="00811E2D"/>
    <w:rsid w:val="00816FDA"/>
    <w:rsid w:val="008208EE"/>
    <w:rsid w:val="008211D9"/>
    <w:rsid w:val="00822DA8"/>
    <w:rsid w:val="008233E8"/>
    <w:rsid w:val="0082445C"/>
    <w:rsid w:val="00826864"/>
    <w:rsid w:val="008316D4"/>
    <w:rsid w:val="0083487E"/>
    <w:rsid w:val="0083515A"/>
    <w:rsid w:val="00836CA7"/>
    <w:rsid w:val="008378EC"/>
    <w:rsid w:val="00840DDE"/>
    <w:rsid w:val="00840F62"/>
    <w:rsid w:val="00842BF0"/>
    <w:rsid w:val="008541FE"/>
    <w:rsid w:val="00855636"/>
    <w:rsid w:val="00860742"/>
    <w:rsid w:val="00860F73"/>
    <w:rsid w:val="00863617"/>
    <w:rsid w:val="00863985"/>
    <w:rsid w:val="0086550B"/>
    <w:rsid w:val="00866A26"/>
    <w:rsid w:val="00871284"/>
    <w:rsid w:val="00872D89"/>
    <w:rsid w:val="00873350"/>
    <w:rsid w:val="008743C8"/>
    <w:rsid w:val="00875DAD"/>
    <w:rsid w:val="008800CD"/>
    <w:rsid w:val="0088139E"/>
    <w:rsid w:val="008832AB"/>
    <w:rsid w:val="00886FD2"/>
    <w:rsid w:val="00887F7E"/>
    <w:rsid w:val="00893582"/>
    <w:rsid w:val="00895ACC"/>
    <w:rsid w:val="008A2009"/>
    <w:rsid w:val="008A6FBE"/>
    <w:rsid w:val="008B0C7E"/>
    <w:rsid w:val="008B237C"/>
    <w:rsid w:val="008B2A53"/>
    <w:rsid w:val="008B2B91"/>
    <w:rsid w:val="008B4E94"/>
    <w:rsid w:val="008B67AF"/>
    <w:rsid w:val="008B72F4"/>
    <w:rsid w:val="008C0F2D"/>
    <w:rsid w:val="008C5237"/>
    <w:rsid w:val="008C55CC"/>
    <w:rsid w:val="008C6E13"/>
    <w:rsid w:val="008D1187"/>
    <w:rsid w:val="008D2A89"/>
    <w:rsid w:val="008D7964"/>
    <w:rsid w:val="008E2378"/>
    <w:rsid w:val="008F006D"/>
    <w:rsid w:val="008F01BC"/>
    <w:rsid w:val="008F3487"/>
    <w:rsid w:val="008F3D24"/>
    <w:rsid w:val="008F4288"/>
    <w:rsid w:val="008F73B9"/>
    <w:rsid w:val="00906913"/>
    <w:rsid w:val="00906C70"/>
    <w:rsid w:val="0092027F"/>
    <w:rsid w:val="00924B62"/>
    <w:rsid w:val="00925CAB"/>
    <w:rsid w:val="00926C8A"/>
    <w:rsid w:val="009312EA"/>
    <w:rsid w:val="00932446"/>
    <w:rsid w:val="009328F4"/>
    <w:rsid w:val="0093368E"/>
    <w:rsid w:val="0093608B"/>
    <w:rsid w:val="00936339"/>
    <w:rsid w:val="00937630"/>
    <w:rsid w:val="0094095F"/>
    <w:rsid w:val="00941701"/>
    <w:rsid w:val="00942885"/>
    <w:rsid w:val="00944E2A"/>
    <w:rsid w:val="0094593E"/>
    <w:rsid w:val="009471AC"/>
    <w:rsid w:val="0095099C"/>
    <w:rsid w:val="00950ED1"/>
    <w:rsid w:val="00952434"/>
    <w:rsid w:val="0095432A"/>
    <w:rsid w:val="00954D2D"/>
    <w:rsid w:val="009560C0"/>
    <w:rsid w:val="009637B1"/>
    <w:rsid w:val="00965AF6"/>
    <w:rsid w:val="00970175"/>
    <w:rsid w:val="009736AD"/>
    <w:rsid w:val="00975827"/>
    <w:rsid w:val="0098064C"/>
    <w:rsid w:val="00984056"/>
    <w:rsid w:val="009854C3"/>
    <w:rsid w:val="00986ECB"/>
    <w:rsid w:val="00991590"/>
    <w:rsid w:val="00992CAE"/>
    <w:rsid w:val="009939BD"/>
    <w:rsid w:val="00995243"/>
    <w:rsid w:val="009969FE"/>
    <w:rsid w:val="009A1429"/>
    <w:rsid w:val="009A5DD1"/>
    <w:rsid w:val="009A77AD"/>
    <w:rsid w:val="009B4E1D"/>
    <w:rsid w:val="009B71AA"/>
    <w:rsid w:val="009C4FC4"/>
    <w:rsid w:val="009C6A15"/>
    <w:rsid w:val="009D0829"/>
    <w:rsid w:val="009D4225"/>
    <w:rsid w:val="009D6266"/>
    <w:rsid w:val="009D78C7"/>
    <w:rsid w:val="009E1176"/>
    <w:rsid w:val="009E194C"/>
    <w:rsid w:val="009E2C5E"/>
    <w:rsid w:val="009E34E3"/>
    <w:rsid w:val="009E623B"/>
    <w:rsid w:val="009E7A1F"/>
    <w:rsid w:val="009ED653"/>
    <w:rsid w:val="009F2075"/>
    <w:rsid w:val="009F213C"/>
    <w:rsid w:val="009F4430"/>
    <w:rsid w:val="00A000BA"/>
    <w:rsid w:val="00A011E8"/>
    <w:rsid w:val="00A0390B"/>
    <w:rsid w:val="00A07D28"/>
    <w:rsid w:val="00A11180"/>
    <w:rsid w:val="00A1155E"/>
    <w:rsid w:val="00A11BE1"/>
    <w:rsid w:val="00A1231E"/>
    <w:rsid w:val="00A13179"/>
    <w:rsid w:val="00A13738"/>
    <w:rsid w:val="00A17018"/>
    <w:rsid w:val="00A20D14"/>
    <w:rsid w:val="00A21414"/>
    <w:rsid w:val="00A216C3"/>
    <w:rsid w:val="00A24626"/>
    <w:rsid w:val="00A2624F"/>
    <w:rsid w:val="00A26FD8"/>
    <w:rsid w:val="00A3236B"/>
    <w:rsid w:val="00A328A1"/>
    <w:rsid w:val="00A364C0"/>
    <w:rsid w:val="00A372F7"/>
    <w:rsid w:val="00A37F4D"/>
    <w:rsid w:val="00A413EA"/>
    <w:rsid w:val="00A41C9F"/>
    <w:rsid w:val="00A45A2E"/>
    <w:rsid w:val="00A50C5F"/>
    <w:rsid w:val="00A52BEB"/>
    <w:rsid w:val="00A554D8"/>
    <w:rsid w:val="00A63D9B"/>
    <w:rsid w:val="00A6593D"/>
    <w:rsid w:val="00A66D94"/>
    <w:rsid w:val="00A74D89"/>
    <w:rsid w:val="00A77712"/>
    <w:rsid w:val="00A80690"/>
    <w:rsid w:val="00A821A5"/>
    <w:rsid w:val="00A82B66"/>
    <w:rsid w:val="00A82CB2"/>
    <w:rsid w:val="00A83465"/>
    <w:rsid w:val="00A92FA2"/>
    <w:rsid w:val="00A93415"/>
    <w:rsid w:val="00A95AFD"/>
    <w:rsid w:val="00A978E7"/>
    <w:rsid w:val="00AA5687"/>
    <w:rsid w:val="00AA56DE"/>
    <w:rsid w:val="00AA7DC8"/>
    <w:rsid w:val="00AB0C8F"/>
    <w:rsid w:val="00AB1819"/>
    <w:rsid w:val="00AB20BC"/>
    <w:rsid w:val="00AB3AF3"/>
    <w:rsid w:val="00AC0394"/>
    <w:rsid w:val="00AC0C8D"/>
    <w:rsid w:val="00AC30D4"/>
    <w:rsid w:val="00AC322D"/>
    <w:rsid w:val="00AC3D55"/>
    <w:rsid w:val="00AC5D61"/>
    <w:rsid w:val="00AC634D"/>
    <w:rsid w:val="00AD13CF"/>
    <w:rsid w:val="00AD3717"/>
    <w:rsid w:val="00AD5696"/>
    <w:rsid w:val="00AD7545"/>
    <w:rsid w:val="00AE3BEA"/>
    <w:rsid w:val="00AE4B3B"/>
    <w:rsid w:val="00AE6D69"/>
    <w:rsid w:val="00AF27EA"/>
    <w:rsid w:val="00AF2D56"/>
    <w:rsid w:val="00AF3368"/>
    <w:rsid w:val="00AF46C7"/>
    <w:rsid w:val="00AF5A25"/>
    <w:rsid w:val="00B0042B"/>
    <w:rsid w:val="00B0186D"/>
    <w:rsid w:val="00B047C9"/>
    <w:rsid w:val="00B07480"/>
    <w:rsid w:val="00B07F5F"/>
    <w:rsid w:val="00B10C72"/>
    <w:rsid w:val="00B117DF"/>
    <w:rsid w:val="00B11AFB"/>
    <w:rsid w:val="00B12A03"/>
    <w:rsid w:val="00B14967"/>
    <w:rsid w:val="00B14F91"/>
    <w:rsid w:val="00B21959"/>
    <w:rsid w:val="00B21D5E"/>
    <w:rsid w:val="00B22BFF"/>
    <w:rsid w:val="00B22C15"/>
    <w:rsid w:val="00B22F09"/>
    <w:rsid w:val="00B236AB"/>
    <w:rsid w:val="00B2621F"/>
    <w:rsid w:val="00B322F6"/>
    <w:rsid w:val="00B32641"/>
    <w:rsid w:val="00B33543"/>
    <w:rsid w:val="00B33FE4"/>
    <w:rsid w:val="00B34B7F"/>
    <w:rsid w:val="00B34CC5"/>
    <w:rsid w:val="00B37548"/>
    <w:rsid w:val="00B40EB9"/>
    <w:rsid w:val="00B42BD8"/>
    <w:rsid w:val="00B42F6F"/>
    <w:rsid w:val="00B436F8"/>
    <w:rsid w:val="00B465B2"/>
    <w:rsid w:val="00B46682"/>
    <w:rsid w:val="00B52862"/>
    <w:rsid w:val="00B54343"/>
    <w:rsid w:val="00B5554A"/>
    <w:rsid w:val="00B64C92"/>
    <w:rsid w:val="00B65638"/>
    <w:rsid w:val="00B666B4"/>
    <w:rsid w:val="00B66C6E"/>
    <w:rsid w:val="00B67E2E"/>
    <w:rsid w:val="00B70004"/>
    <w:rsid w:val="00B71BA0"/>
    <w:rsid w:val="00B7259A"/>
    <w:rsid w:val="00B825CB"/>
    <w:rsid w:val="00B860FA"/>
    <w:rsid w:val="00B90CFF"/>
    <w:rsid w:val="00B913B9"/>
    <w:rsid w:val="00B968FB"/>
    <w:rsid w:val="00BA0599"/>
    <w:rsid w:val="00BA40E6"/>
    <w:rsid w:val="00BA4829"/>
    <w:rsid w:val="00BA5E62"/>
    <w:rsid w:val="00BA77B1"/>
    <w:rsid w:val="00BB516A"/>
    <w:rsid w:val="00BB6A60"/>
    <w:rsid w:val="00BC03F1"/>
    <w:rsid w:val="00BC14F2"/>
    <w:rsid w:val="00BC3417"/>
    <w:rsid w:val="00BC3856"/>
    <w:rsid w:val="00BC492B"/>
    <w:rsid w:val="00BC5B0C"/>
    <w:rsid w:val="00BC6D0D"/>
    <w:rsid w:val="00BD10CE"/>
    <w:rsid w:val="00BD118B"/>
    <w:rsid w:val="00BD19DD"/>
    <w:rsid w:val="00BD5591"/>
    <w:rsid w:val="00BD6D56"/>
    <w:rsid w:val="00BD70DD"/>
    <w:rsid w:val="00BE09F9"/>
    <w:rsid w:val="00BE6355"/>
    <w:rsid w:val="00BE72F3"/>
    <w:rsid w:val="00BF03C9"/>
    <w:rsid w:val="00BF57D0"/>
    <w:rsid w:val="00BF57D9"/>
    <w:rsid w:val="00BF6878"/>
    <w:rsid w:val="00BF7800"/>
    <w:rsid w:val="00BF7E66"/>
    <w:rsid w:val="00BF7ED3"/>
    <w:rsid w:val="00C00D86"/>
    <w:rsid w:val="00C02032"/>
    <w:rsid w:val="00C041AE"/>
    <w:rsid w:val="00C05EF2"/>
    <w:rsid w:val="00C07CE4"/>
    <w:rsid w:val="00C17A51"/>
    <w:rsid w:val="00C23134"/>
    <w:rsid w:val="00C26412"/>
    <w:rsid w:val="00C32D3E"/>
    <w:rsid w:val="00C33BB9"/>
    <w:rsid w:val="00C3550F"/>
    <w:rsid w:val="00C35D16"/>
    <w:rsid w:val="00C4231D"/>
    <w:rsid w:val="00C47482"/>
    <w:rsid w:val="00C53B4C"/>
    <w:rsid w:val="00C55D19"/>
    <w:rsid w:val="00C568F5"/>
    <w:rsid w:val="00C56C40"/>
    <w:rsid w:val="00C56E8D"/>
    <w:rsid w:val="00C65347"/>
    <w:rsid w:val="00C6725A"/>
    <w:rsid w:val="00C6726C"/>
    <w:rsid w:val="00C8222C"/>
    <w:rsid w:val="00C823D0"/>
    <w:rsid w:val="00C828E4"/>
    <w:rsid w:val="00C83C49"/>
    <w:rsid w:val="00C850D8"/>
    <w:rsid w:val="00C9006E"/>
    <w:rsid w:val="00C92ADF"/>
    <w:rsid w:val="00C94303"/>
    <w:rsid w:val="00C95697"/>
    <w:rsid w:val="00C970FA"/>
    <w:rsid w:val="00CA13DB"/>
    <w:rsid w:val="00CA1CE0"/>
    <w:rsid w:val="00CA38FE"/>
    <w:rsid w:val="00CA406B"/>
    <w:rsid w:val="00CB12DD"/>
    <w:rsid w:val="00CC1C4F"/>
    <w:rsid w:val="00CC3E02"/>
    <w:rsid w:val="00CC5615"/>
    <w:rsid w:val="00CC60A7"/>
    <w:rsid w:val="00CC6DED"/>
    <w:rsid w:val="00CD0A7C"/>
    <w:rsid w:val="00CD1AE7"/>
    <w:rsid w:val="00CD20BA"/>
    <w:rsid w:val="00CD5633"/>
    <w:rsid w:val="00CD580B"/>
    <w:rsid w:val="00CD68CD"/>
    <w:rsid w:val="00CD732A"/>
    <w:rsid w:val="00CD73AA"/>
    <w:rsid w:val="00CD7B50"/>
    <w:rsid w:val="00CE0D70"/>
    <w:rsid w:val="00CE2653"/>
    <w:rsid w:val="00CE2C68"/>
    <w:rsid w:val="00CE31EB"/>
    <w:rsid w:val="00CE37FA"/>
    <w:rsid w:val="00CE548C"/>
    <w:rsid w:val="00CE7EA6"/>
    <w:rsid w:val="00CF07E7"/>
    <w:rsid w:val="00CF2796"/>
    <w:rsid w:val="00D004BF"/>
    <w:rsid w:val="00D02410"/>
    <w:rsid w:val="00D05C0F"/>
    <w:rsid w:val="00D068DB"/>
    <w:rsid w:val="00D1016C"/>
    <w:rsid w:val="00D14676"/>
    <w:rsid w:val="00D178F4"/>
    <w:rsid w:val="00D23527"/>
    <w:rsid w:val="00D24318"/>
    <w:rsid w:val="00D24CCE"/>
    <w:rsid w:val="00D27014"/>
    <w:rsid w:val="00D2710F"/>
    <w:rsid w:val="00D2795D"/>
    <w:rsid w:val="00D31943"/>
    <w:rsid w:val="00D35DA9"/>
    <w:rsid w:val="00D36459"/>
    <w:rsid w:val="00D3685B"/>
    <w:rsid w:val="00D37180"/>
    <w:rsid w:val="00D4106C"/>
    <w:rsid w:val="00D4338F"/>
    <w:rsid w:val="00D50EB8"/>
    <w:rsid w:val="00D51267"/>
    <w:rsid w:val="00D51CF3"/>
    <w:rsid w:val="00D545E2"/>
    <w:rsid w:val="00D56762"/>
    <w:rsid w:val="00D61C0C"/>
    <w:rsid w:val="00D62A86"/>
    <w:rsid w:val="00D64C8A"/>
    <w:rsid w:val="00D66146"/>
    <w:rsid w:val="00D72744"/>
    <w:rsid w:val="00D75995"/>
    <w:rsid w:val="00D77CFA"/>
    <w:rsid w:val="00D807E3"/>
    <w:rsid w:val="00D81BB8"/>
    <w:rsid w:val="00D83019"/>
    <w:rsid w:val="00D850A1"/>
    <w:rsid w:val="00D85A86"/>
    <w:rsid w:val="00D91FE9"/>
    <w:rsid w:val="00D938C7"/>
    <w:rsid w:val="00DA70BB"/>
    <w:rsid w:val="00DB055F"/>
    <w:rsid w:val="00DB058C"/>
    <w:rsid w:val="00DB0A11"/>
    <w:rsid w:val="00DB1CD3"/>
    <w:rsid w:val="00DB559E"/>
    <w:rsid w:val="00DB7BE9"/>
    <w:rsid w:val="00DC2BDD"/>
    <w:rsid w:val="00DD157D"/>
    <w:rsid w:val="00DD5B1B"/>
    <w:rsid w:val="00DE1941"/>
    <w:rsid w:val="00DE714F"/>
    <w:rsid w:val="00DE7A02"/>
    <w:rsid w:val="00DF7910"/>
    <w:rsid w:val="00E00634"/>
    <w:rsid w:val="00E03A63"/>
    <w:rsid w:val="00E03EE3"/>
    <w:rsid w:val="00E07A69"/>
    <w:rsid w:val="00E11861"/>
    <w:rsid w:val="00E1224E"/>
    <w:rsid w:val="00E12992"/>
    <w:rsid w:val="00E140A9"/>
    <w:rsid w:val="00E14B20"/>
    <w:rsid w:val="00E168D2"/>
    <w:rsid w:val="00E21BDB"/>
    <w:rsid w:val="00E21C89"/>
    <w:rsid w:val="00E2255C"/>
    <w:rsid w:val="00E31CE3"/>
    <w:rsid w:val="00E3450C"/>
    <w:rsid w:val="00E34541"/>
    <w:rsid w:val="00E36B13"/>
    <w:rsid w:val="00E3775F"/>
    <w:rsid w:val="00E4131A"/>
    <w:rsid w:val="00E42771"/>
    <w:rsid w:val="00E47406"/>
    <w:rsid w:val="00E47460"/>
    <w:rsid w:val="00E512AB"/>
    <w:rsid w:val="00E56C5B"/>
    <w:rsid w:val="00E57BB9"/>
    <w:rsid w:val="00E57D37"/>
    <w:rsid w:val="00E63FA8"/>
    <w:rsid w:val="00E660C8"/>
    <w:rsid w:val="00E668A0"/>
    <w:rsid w:val="00E67E85"/>
    <w:rsid w:val="00E70D40"/>
    <w:rsid w:val="00E740D4"/>
    <w:rsid w:val="00E74279"/>
    <w:rsid w:val="00E747B3"/>
    <w:rsid w:val="00E757D6"/>
    <w:rsid w:val="00E7685D"/>
    <w:rsid w:val="00E770FF"/>
    <w:rsid w:val="00E778ED"/>
    <w:rsid w:val="00E77EA2"/>
    <w:rsid w:val="00E80E6C"/>
    <w:rsid w:val="00E826A4"/>
    <w:rsid w:val="00E84E94"/>
    <w:rsid w:val="00E8568A"/>
    <w:rsid w:val="00E85940"/>
    <w:rsid w:val="00E86BF2"/>
    <w:rsid w:val="00E87100"/>
    <w:rsid w:val="00E922BD"/>
    <w:rsid w:val="00E9407B"/>
    <w:rsid w:val="00E94A6F"/>
    <w:rsid w:val="00E94C9A"/>
    <w:rsid w:val="00E96540"/>
    <w:rsid w:val="00E9694A"/>
    <w:rsid w:val="00EA0065"/>
    <w:rsid w:val="00EA35CF"/>
    <w:rsid w:val="00EA42DA"/>
    <w:rsid w:val="00EA57DD"/>
    <w:rsid w:val="00EA5860"/>
    <w:rsid w:val="00EB07EA"/>
    <w:rsid w:val="00EB146C"/>
    <w:rsid w:val="00EB5DE4"/>
    <w:rsid w:val="00EC590D"/>
    <w:rsid w:val="00ED0121"/>
    <w:rsid w:val="00ED0AA1"/>
    <w:rsid w:val="00ED0CD0"/>
    <w:rsid w:val="00EE04FF"/>
    <w:rsid w:val="00EE1DF9"/>
    <w:rsid w:val="00EE5FB4"/>
    <w:rsid w:val="00EE6E61"/>
    <w:rsid w:val="00EF2428"/>
    <w:rsid w:val="00EF5D66"/>
    <w:rsid w:val="00F00169"/>
    <w:rsid w:val="00F0193C"/>
    <w:rsid w:val="00F01941"/>
    <w:rsid w:val="00F050E6"/>
    <w:rsid w:val="00F07116"/>
    <w:rsid w:val="00F144EB"/>
    <w:rsid w:val="00F14A78"/>
    <w:rsid w:val="00F208EC"/>
    <w:rsid w:val="00F311EC"/>
    <w:rsid w:val="00F33A73"/>
    <w:rsid w:val="00F34C8D"/>
    <w:rsid w:val="00F4070D"/>
    <w:rsid w:val="00F41A87"/>
    <w:rsid w:val="00F41D0E"/>
    <w:rsid w:val="00F43EBB"/>
    <w:rsid w:val="00F450E5"/>
    <w:rsid w:val="00F47966"/>
    <w:rsid w:val="00F5112B"/>
    <w:rsid w:val="00F51F27"/>
    <w:rsid w:val="00F5298B"/>
    <w:rsid w:val="00F55B3A"/>
    <w:rsid w:val="00F638FB"/>
    <w:rsid w:val="00F66BE4"/>
    <w:rsid w:val="00F66C4F"/>
    <w:rsid w:val="00F67108"/>
    <w:rsid w:val="00F717D2"/>
    <w:rsid w:val="00F72337"/>
    <w:rsid w:val="00F758CD"/>
    <w:rsid w:val="00F758CF"/>
    <w:rsid w:val="00F77AD2"/>
    <w:rsid w:val="00F83ADF"/>
    <w:rsid w:val="00F85F8B"/>
    <w:rsid w:val="00F8649C"/>
    <w:rsid w:val="00F86C5E"/>
    <w:rsid w:val="00F928BF"/>
    <w:rsid w:val="00F936D5"/>
    <w:rsid w:val="00F94920"/>
    <w:rsid w:val="00F9528F"/>
    <w:rsid w:val="00FA0A5E"/>
    <w:rsid w:val="00FA1900"/>
    <w:rsid w:val="00FA6B35"/>
    <w:rsid w:val="00FA7EDE"/>
    <w:rsid w:val="00FB05B1"/>
    <w:rsid w:val="00FC0527"/>
    <w:rsid w:val="00FC15C0"/>
    <w:rsid w:val="00FC1B63"/>
    <w:rsid w:val="00FC43C0"/>
    <w:rsid w:val="00FC5B45"/>
    <w:rsid w:val="00FC628C"/>
    <w:rsid w:val="00FC697C"/>
    <w:rsid w:val="00FD09B7"/>
    <w:rsid w:val="00FD0FE0"/>
    <w:rsid w:val="00FD498D"/>
    <w:rsid w:val="00FD4B15"/>
    <w:rsid w:val="00FD6483"/>
    <w:rsid w:val="00FD70BF"/>
    <w:rsid w:val="00FE74A3"/>
    <w:rsid w:val="00FF142A"/>
    <w:rsid w:val="00FF2995"/>
    <w:rsid w:val="00FF3F01"/>
    <w:rsid w:val="00FF4BF1"/>
    <w:rsid w:val="00FF6357"/>
    <w:rsid w:val="00FF6A81"/>
    <w:rsid w:val="0154A354"/>
    <w:rsid w:val="03BF2D55"/>
    <w:rsid w:val="0763065E"/>
    <w:rsid w:val="080C59CD"/>
    <w:rsid w:val="090E923A"/>
    <w:rsid w:val="0A698D07"/>
    <w:rsid w:val="0CAC0AE2"/>
    <w:rsid w:val="0D26F89B"/>
    <w:rsid w:val="12562B57"/>
    <w:rsid w:val="13061854"/>
    <w:rsid w:val="1433C7C2"/>
    <w:rsid w:val="1463788A"/>
    <w:rsid w:val="14BA74AA"/>
    <w:rsid w:val="1746607D"/>
    <w:rsid w:val="18ECA154"/>
    <w:rsid w:val="190B590F"/>
    <w:rsid w:val="2014017B"/>
    <w:rsid w:val="2113A309"/>
    <w:rsid w:val="2115722A"/>
    <w:rsid w:val="248B93D5"/>
    <w:rsid w:val="26C3AA5E"/>
    <w:rsid w:val="277E7F67"/>
    <w:rsid w:val="296EC182"/>
    <w:rsid w:val="299DEA56"/>
    <w:rsid w:val="29C9D568"/>
    <w:rsid w:val="2CC70560"/>
    <w:rsid w:val="2CE2F642"/>
    <w:rsid w:val="2DA6F660"/>
    <w:rsid w:val="33D386CA"/>
    <w:rsid w:val="36B98B4E"/>
    <w:rsid w:val="379E08A5"/>
    <w:rsid w:val="37B49433"/>
    <w:rsid w:val="3A5C3DCA"/>
    <w:rsid w:val="3ADA06F4"/>
    <w:rsid w:val="437DE295"/>
    <w:rsid w:val="44CA2B1D"/>
    <w:rsid w:val="44D23869"/>
    <w:rsid w:val="47481CC9"/>
    <w:rsid w:val="49930C24"/>
    <w:rsid w:val="4B99FEA1"/>
    <w:rsid w:val="51BA7392"/>
    <w:rsid w:val="5440BE99"/>
    <w:rsid w:val="58FA3EEA"/>
    <w:rsid w:val="5A67E94D"/>
    <w:rsid w:val="5B0E4F57"/>
    <w:rsid w:val="64396DA0"/>
    <w:rsid w:val="64DBC374"/>
    <w:rsid w:val="68C63B2F"/>
    <w:rsid w:val="6F07BA73"/>
    <w:rsid w:val="7016028F"/>
    <w:rsid w:val="703B2EFF"/>
    <w:rsid w:val="77BA5938"/>
    <w:rsid w:val="77F2632E"/>
    <w:rsid w:val="7AA1A4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BF994"/>
  <w15:chartTrackingRefBased/>
  <w15:docId w15:val="{C33FBF0A-88DA-4EA3-8250-3D89FDDA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C4F"/>
    <w:pPr>
      <w:keepNext/>
      <w:keepLines/>
      <w:spacing w:before="360" w:after="80"/>
      <w:outlineLvl w:val="0"/>
    </w:pPr>
    <w:rPr>
      <w:rFonts w:asciiTheme="majorHAnsi" w:eastAsiaTheme="majorEastAsia" w:hAnsiTheme="majorHAnsi" w:cstheme="majorBidi"/>
      <w:sz w:val="28"/>
      <w:szCs w:val="40"/>
    </w:rPr>
  </w:style>
  <w:style w:type="paragraph" w:styleId="Heading2">
    <w:name w:val="heading 2"/>
    <w:basedOn w:val="Normal"/>
    <w:next w:val="Normal"/>
    <w:link w:val="Heading2Char"/>
    <w:uiPriority w:val="9"/>
    <w:unhideWhenUsed/>
    <w:qFormat/>
    <w:rsid w:val="00BD118B"/>
    <w:pPr>
      <w:keepNext/>
      <w:keepLines/>
      <w:spacing w:before="160" w:after="80"/>
      <w:outlineLvl w:val="1"/>
    </w:pPr>
    <w:rPr>
      <w:rFonts w:asciiTheme="majorHAnsi" w:eastAsiaTheme="majorEastAsia" w:hAnsiTheme="majorHAnsi" w:cstheme="majorBidi"/>
      <w:i/>
      <w:sz w:val="28"/>
      <w:szCs w:val="32"/>
    </w:rPr>
  </w:style>
  <w:style w:type="paragraph" w:styleId="Heading3">
    <w:name w:val="heading 3"/>
    <w:basedOn w:val="Normal"/>
    <w:next w:val="Normal"/>
    <w:link w:val="Heading3Char"/>
    <w:uiPriority w:val="9"/>
    <w:unhideWhenUsed/>
    <w:qFormat/>
    <w:rsid w:val="00BD118B"/>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FC43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3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C4F"/>
    <w:rPr>
      <w:rFonts w:asciiTheme="majorHAnsi" w:eastAsiaTheme="majorEastAsia" w:hAnsiTheme="majorHAnsi" w:cstheme="majorBidi"/>
      <w:sz w:val="28"/>
      <w:szCs w:val="40"/>
    </w:rPr>
  </w:style>
  <w:style w:type="character" w:customStyle="1" w:styleId="Heading2Char">
    <w:name w:val="Heading 2 Char"/>
    <w:basedOn w:val="DefaultParagraphFont"/>
    <w:link w:val="Heading2"/>
    <w:uiPriority w:val="9"/>
    <w:rsid w:val="00BD118B"/>
    <w:rPr>
      <w:rFonts w:asciiTheme="majorHAnsi" w:eastAsiaTheme="majorEastAsia" w:hAnsiTheme="majorHAnsi" w:cstheme="majorBidi"/>
      <w:i/>
      <w:sz w:val="28"/>
      <w:szCs w:val="32"/>
    </w:rPr>
  </w:style>
  <w:style w:type="character" w:customStyle="1" w:styleId="Heading3Char">
    <w:name w:val="Heading 3 Char"/>
    <w:basedOn w:val="DefaultParagraphFont"/>
    <w:link w:val="Heading3"/>
    <w:uiPriority w:val="9"/>
    <w:rsid w:val="00BD118B"/>
    <w:rPr>
      <w:rFonts w:eastAsiaTheme="majorEastAsia" w:cstheme="majorBidi"/>
      <w:b/>
      <w:szCs w:val="28"/>
    </w:rPr>
  </w:style>
  <w:style w:type="character" w:customStyle="1" w:styleId="Heading4Char">
    <w:name w:val="Heading 4 Char"/>
    <w:basedOn w:val="DefaultParagraphFont"/>
    <w:link w:val="Heading4"/>
    <w:uiPriority w:val="9"/>
    <w:semiHidden/>
    <w:rsid w:val="00FC4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3C0"/>
    <w:rPr>
      <w:rFonts w:eastAsiaTheme="majorEastAsia" w:cstheme="majorBidi"/>
      <w:color w:val="272727" w:themeColor="text1" w:themeTint="D8"/>
    </w:rPr>
  </w:style>
  <w:style w:type="paragraph" w:styleId="Title">
    <w:name w:val="Title"/>
    <w:basedOn w:val="Normal"/>
    <w:next w:val="Normal"/>
    <w:link w:val="TitleChar"/>
    <w:uiPriority w:val="10"/>
    <w:qFormat/>
    <w:rsid w:val="00FC4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3C0"/>
    <w:pPr>
      <w:spacing w:before="160"/>
      <w:jc w:val="center"/>
    </w:pPr>
    <w:rPr>
      <w:i/>
      <w:iCs/>
      <w:color w:val="404040" w:themeColor="text1" w:themeTint="BF"/>
    </w:rPr>
  </w:style>
  <w:style w:type="character" w:customStyle="1" w:styleId="QuoteChar">
    <w:name w:val="Quote Char"/>
    <w:basedOn w:val="DefaultParagraphFont"/>
    <w:link w:val="Quote"/>
    <w:uiPriority w:val="29"/>
    <w:rsid w:val="00FC43C0"/>
    <w:rPr>
      <w:i/>
      <w:iCs/>
      <w:color w:val="404040" w:themeColor="text1" w:themeTint="BF"/>
    </w:rPr>
  </w:style>
  <w:style w:type="paragraph" w:styleId="ListParagraph">
    <w:name w:val="List Paragraph"/>
    <w:basedOn w:val="Normal"/>
    <w:uiPriority w:val="34"/>
    <w:qFormat/>
    <w:rsid w:val="00FC43C0"/>
    <w:pPr>
      <w:ind w:left="720"/>
      <w:contextualSpacing/>
    </w:pPr>
  </w:style>
  <w:style w:type="character" w:styleId="IntenseEmphasis">
    <w:name w:val="Intense Emphasis"/>
    <w:basedOn w:val="DefaultParagraphFont"/>
    <w:uiPriority w:val="21"/>
    <w:qFormat/>
    <w:rsid w:val="00FC43C0"/>
    <w:rPr>
      <w:i/>
      <w:iCs/>
      <w:color w:val="0F4761" w:themeColor="accent1" w:themeShade="BF"/>
    </w:rPr>
  </w:style>
  <w:style w:type="paragraph" w:styleId="IntenseQuote">
    <w:name w:val="Intense Quote"/>
    <w:basedOn w:val="Normal"/>
    <w:next w:val="Normal"/>
    <w:link w:val="IntenseQuoteChar"/>
    <w:uiPriority w:val="30"/>
    <w:qFormat/>
    <w:rsid w:val="00FC4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3C0"/>
    <w:rPr>
      <w:i/>
      <w:iCs/>
      <w:color w:val="0F4761" w:themeColor="accent1" w:themeShade="BF"/>
    </w:rPr>
  </w:style>
  <w:style w:type="character" w:styleId="IntenseReference">
    <w:name w:val="Intense Reference"/>
    <w:basedOn w:val="DefaultParagraphFont"/>
    <w:uiPriority w:val="32"/>
    <w:qFormat/>
    <w:rsid w:val="00FC43C0"/>
    <w:rPr>
      <w:b/>
      <w:bCs/>
      <w:smallCaps/>
      <w:color w:val="0F4761" w:themeColor="accent1" w:themeShade="BF"/>
      <w:spacing w:val="5"/>
    </w:rPr>
  </w:style>
  <w:style w:type="character" w:styleId="CommentReference">
    <w:name w:val="annotation reference"/>
    <w:basedOn w:val="DefaultParagraphFont"/>
    <w:uiPriority w:val="99"/>
    <w:semiHidden/>
    <w:unhideWhenUsed/>
    <w:rsid w:val="003E51D6"/>
    <w:rPr>
      <w:sz w:val="16"/>
      <w:szCs w:val="16"/>
    </w:rPr>
  </w:style>
  <w:style w:type="paragraph" w:styleId="CommentText">
    <w:name w:val="annotation text"/>
    <w:basedOn w:val="Normal"/>
    <w:link w:val="CommentTextChar"/>
    <w:uiPriority w:val="99"/>
    <w:unhideWhenUsed/>
    <w:rsid w:val="003E51D6"/>
    <w:pPr>
      <w:spacing w:line="240" w:lineRule="auto"/>
    </w:pPr>
    <w:rPr>
      <w:sz w:val="20"/>
      <w:szCs w:val="20"/>
    </w:rPr>
  </w:style>
  <w:style w:type="character" w:customStyle="1" w:styleId="CommentTextChar">
    <w:name w:val="Comment Text Char"/>
    <w:basedOn w:val="DefaultParagraphFont"/>
    <w:link w:val="CommentText"/>
    <w:uiPriority w:val="99"/>
    <w:rsid w:val="003E51D6"/>
    <w:rPr>
      <w:sz w:val="20"/>
      <w:szCs w:val="20"/>
    </w:rPr>
  </w:style>
  <w:style w:type="paragraph" w:styleId="CommentSubject">
    <w:name w:val="annotation subject"/>
    <w:basedOn w:val="CommentText"/>
    <w:next w:val="CommentText"/>
    <w:link w:val="CommentSubjectChar"/>
    <w:uiPriority w:val="99"/>
    <w:semiHidden/>
    <w:unhideWhenUsed/>
    <w:rsid w:val="003E51D6"/>
    <w:rPr>
      <w:b/>
      <w:bCs/>
    </w:rPr>
  </w:style>
  <w:style w:type="character" w:customStyle="1" w:styleId="CommentSubjectChar">
    <w:name w:val="Comment Subject Char"/>
    <w:basedOn w:val="CommentTextChar"/>
    <w:link w:val="CommentSubject"/>
    <w:uiPriority w:val="99"/>
    <w:semiHidden/>
    <w:rsid w:val="003E51D6"/>
    <w:rPr>
      <w:b/>
      <w:bCs/>
      <w:sz w:val="20"/>
      <w:szCs w:val="20"/>
    </w:rPr>
  </w:style>
  <w:style w:type="character" w:styleId="Hyperlink">
    <w:name w:val="Hyperlink"/>
    <w:basedOn w:val="DefaultParagraphFont"/>
    <w:uiPriority w:val="99"/>
    <w:unhideWhenUsed/>
    <w:rsid w:val="003E51D6"/>
    <w:rPr>
      <w:color w:val="467886" w:themeColor="hyperlink"/>
      <w:u w:val="single"/>
    </w:rPr>
  </w:style>
  <w:style w:type="character" w:styleId="UnresolvedMention">
    <w:name w:val="Unresolved Mention"/>
    <w:basedOn w:val="DefaultParagraphFont"/>
    <w:uiPriority w:val="99"/>
    <w:semiHidden/>
    <w:unhideWhenUsed/>
    <w:rsid w:val="003E51D6"/>
    <w:rPr>
      <w:color w:val="605E5C"/>
      <w:shd w:val="clear" w:color="auto" w:fill="E1DFDD"/>
    </w:rPr>
  </w:style>
  <w:style w:type="paragraph" w:styleId="Bibliography">
    <w:name w:val="Bibliography"/>
    <w:basedOn w:val="Normal"/>
    <w:next w:val="Normal"/>
    <w:uiPriority w:val="37"/>
    <w:unhideWhenUsed/>
    <w:rsid w:val="00F34C8D"/>
    <w:pPr>
      <w:tabs>
        <w:tab w:val="left" w:pos="264"/>
      </w:tabs>
      <w:spacing w:after="240" w:line="240" w:lineRule="auto"/>
      <w:ind w:left="264" w:hanging="264"/>
    </w:pPr>
  </w:style>
  <w:style w:type="character" w:styleId="Strong">
    <w:name w:val="Strong"/>
    <w:basedOn w:val="DefaultParagraphFont"/>
    <w:uiPriority w:val="22"/>
    <w:qFormat/>
    <w:rsid w:val="00563225"/>
    <w:rPr>
      <w:b/>
      <w:bCs/>
    </w:rPr>
  </w:style>
  <w:style w:type="paragraph" w:styleId="NormalWeb">
    <w:name w:val="Normal (Web)"/>
    <w:basedOn w:val="Normal"/>
    <w:uiPriority w:val="99"/>
    <w:semiHidden/>
    <w:unhideWhenUsed/>
    <w:rsid w:val="001275D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275D9"/>
    <w:rPr>
      <w:i/>
      <w:iCs/>
    </w:rPr>
  </w:style>
  <w:style w:type="paragraph" w:styleId="Revision">
    <w:name w:val="Revision"/>
    <w:hidden/>
    <w:uiPriority w:val="99"/>
    <w:semiHidden/>
    <w:rsid w:val="00B666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001">
      <w:bodyDiv w:val="1"/>
      <w:marLeft w:val="0"/>
      <w:marRight w:val="0"/>
      <w:marTop w:val="0"/>
      <w:marBottom w:val="0"/>
      <w:divBdr>
        <w:top w:val="none" w:sz="0" w:space="0" w:color="auto"/>
        <w:left w:val="none" w:sz="0" w:space="0" w:color="auto"/>
        <w:bottom w:val="none" w:sz="0" w:space="0" w:color="auto"/>
        <w:right w:val="none" w:sz="0" w:space="0" w:color="auto"/>
      </w:divBdr>
    </w:div>
    <w:div w:id="100609055">
      <w:bodyDiv w:val="1"/>
      <w:marLeft w:val="0"/>
      <w:marRight w:val="0"/>
      <w:marTop w:val="0"/>
      <w:marBottom w:val="0"/>
      <w:divBdr>
        <w:top w:val="none" w:sz="0" w:space="0" w:color="auto"/>
        <w:left w:val="none" w:sz="0" w:space="0" w:color="auto"/>
        <w:bottom w:val="none" w:sz="0" w:space="0" w:color="auto"/>
        <w:right w:val="none" w:sz="0" w:space="0" w:color="auto"/>
      </w:divBdr>
    </w:div>
    <w:div w:id="570695941">
      <w:bodyDiv w:val="1"/>
      <w:marLeft w:val="0"/>
      <w:marRight w:val="0"/>
      <w:marTop w:val="0"/>
      <w:marBottom w:val="0"/>
      <w:divBdr>
        <w:top w:val="none" w:sz="0" w:space="0" w:color="auto"/>
        <w:left w:val="none" w:sz="0" w:space="0" w:color="auto"/>
        <w:bottom w:val="none" w:sz="0" w:space="0" w:color="auto"/>
        <w:right w:val="none" w:sz="0" w:space="0" w:color="auto"/>
      </w:divBdr>
      <w:divsChild>
        <w:div w:id="34251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577053">
      <w:bodyDiv w:val="1"/>
      <w:marLeft w:val="0"/>
      <w:marRight w:val="0"/>
      <w:marTop w:val="0"/>
      <w:marBottom w:val="0"/>
      <w:divBdr>
        <w:top w:val="none" w:sz="0" w:space="0" w:color="auto"/>
        <w:left w:val="none" w:sz="0" w:space="0" w:color="auto"/>
        <w:bottom w:val="none" w:sz="0" w:space="0" w:color="auto"/>
        <w:right w:val="none" w:sz="0" w:space="0" w:color="auto"/>
      </w:divBdr>
    </w:div>
    <w:div w:id="927226800">
      <w:bodyDiv w:val="1"/>
      <w:marLeft w:val="0"/>
      <w:marRight w:val="0"/>
      <w:marTop w:val="0"/>
      <w:marBottom w:val="0"/>
      <w:divBdr>
        <w:top w:val="none" w:sz="0" w:space="0" w:color="auto"/>
        <w:left w:val="none" w:sz="0" w:space="0" w:color="auto"/>
        <w:bottom w:val="none" w:sz="0" w:space="0" w:color="auto"/>
        <w:right w:val="none" w:sz="0" w:space="0" w:color="auto"/>
      </w:divBdr>
    </w:div>
    <w:div w:id="1054430683">
      <w:bodyDiv w:val="1"/>
      <w:marLeft w:val="0"/>
      <w:marRight w:val="0"/>
      <w:marTop w:val="0"/>
      <w:marBottom w:val="0"/>
      <w:divBdr>
        <w:top w:val="none" w:sz="0" w:space="0" w:color="auto"/>
        <w:left w:val="none" w:sz="0" w:space="0" w:color="auto"/>
        <w:bottom w:val="none" w:sz="0" w:space="0" w:color="auto"/>
        <w:right w:val="none" w:sz="0" w:space="0" w:color="auto"/>
      </w:divBdr>
    </w:div>
    <w:div w:id="1288731146">
      <w:bodyDiv w:val="1"/>
      <w:marLeft w:val="0"/>
      <w:marRight w:val="0"/>
      <w:marTop w:val="0"/>
      <w:marBottom w:val="0"/>
      <w:divBdr>
        <w:top w:val="none" w:sz="0" w:space="0" w:color="auto"/>
        <w:left w:val="none" w:sz="0" w:space="0" w:color="auto"/>
        <w:bottom w:val="none" w:sz="0" w:space="0" w:color="auto"/>
        <w:right w:val="none" w:sz="0" w:space="0" w:color="auto"/>
      </w:divBdr>
    </w:div>
    <w:div w:id="1310591456">
      <w:bodyDiv w:val="1"/>
      <w:marLeft w:val="0"/>
      <w:marRight w:val="0"/>
      <w:marTop w:val="0"/>
      <w:marBottom w:val="0"/>
      <w:divBdr>
        <w:top w:val="none" w:sz="0" w:space="0" w:color="auto"/>
        <w:left w:val="none" w:sz="0" w:space="0" w:color="auto"/>
        <w:bottom w:val="none" w:sz="0" w:space="0" w:color="auto"/>
        <w:right w:val="none" w:sz="0" w:space="0" w:color="auto"/>
      </w:divBdr>
    </w:div>
    <w:div w:id="1432823987">
      <w:bodyDiv w:val="1"/>
      <w:marLeft w:val="0"/>
      <w:marRight w:val="0"/>
      <w:marTop w:val="0"/>
      <w:marBottom w:val="0"/>
      <w:divBdr>
        <w:top w:val="none" w:sz="0" w:space="0" w:color="auto"/>
        <w:left w:val="none" w:sz="0" w:space="0" w:color="auto"/>
        <w:bottom w:val="none" w:sz="0" w:space="0" w:color="auto"/>
        <w:right w:val="none" w:sz="0" w:space="0" w:color="auto"/>
      </w:divBdr>
    </w:div>
    <w:div w:id="1669168728">
      <w:bodyDiv w:val="1"/>
      <w:marLeft w:val="0"/>
      <w:marRight w:val="0"/>
      <w:marTop w:val="0"/>
      <w:marBottom w:val="0"/>
      <w:divBdr>
        <w:top w:val="none" w:sz="0" w:space="0" w:color="auto"/>
        <w:left w:val="none" w:sz="0" w:space="0" w:color="auto"/>
        <w:bottom w:val="none" w:sz="0" w:space="0" w:color="auto"/>
        <w:right w:val="none" w:sz="0" w:space="0" w:color="auto"/>
      </w:divBdr>
    </w:div>
    <w:div w:id="16840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1506</TotalTime>
  <Pages>7</Pages>
  <Words>3147</Words>
  <Characters>17944</Characters>
  <Application>Microsoft Office Word</Application>
  <DocSecurity>0</DocSecurity>
  <Lines>149</Lines>
  <Paragraphs>42</Paragraphs>
  <ScaleCrop>false</ScaleCrop>
  <Company/>
  <LinksUpToDate>false</LinksUpToDate>
  <CharactersWithSpaces>21049</CharactersWithSpaces>
  <SharedDoc>false</SharedDoc>
  <HLinks>
    <vt:vector size="78" baseType="variant">
      <vt:variant>
        <vt:i4>4390959</vt:i4>
      </vt:variant>
      <vt:variant>
        <vt:i4>3</vt:i4>
      </vt:variant>
      <vt:variant>
        <vt:i4>0</vt:i4>
      </vt:variant>
      <vt:variant>
        <vt:i4>5</vt:i4>
      </vt:variant>
      <vt:variant>
        <vt:lpwstr>mailto:msjalali@mgh.harvard.edu</vt:lpwstr>
      </vt:variant>
      <vt:variant>
        <vt:lpwstr/>
      </vt:variant>
      <vt:variant>
        <vt:i4>4390959</vt:i4>
      </vt:variant>
      <vt:variant>
        <vt:i4>0</vt:i4>
      </vt:variant>
      <vt:variant>
        <vt:i4>0</vt:i4>
      </vt:variant>
      <vt:variant>
        <vt:i4>5</vt:i4>
      </vt:variant>
      <vt:variant>
        <vt:lpwstr>mailto:msjalali@mgh.harvard.edu</vt:lpwstr>
      </vt:variant>
      <vt:variant>
        <vt:lpwstr/>
      </vt:variant>
      <vt:variant>
        <vt:i4>2687072</vt:i4>
      </vt:variant>
      <vt:variant>
        <vt:i4>30</vt:i4>
      </vt:variant>
      <vt:variant>
        <vt:i4>0</vt:i4>
      </vt:variant>
      <vt:variant>
        <vt:i4>5</vt:i4>
      </vt:variant>
      <vt:variant>
        <vt:lpwstr>https://www.science.org/doi/10.1126/science.aal0010</vt:lpwstr>
      </vt:variant>
      <vt:variant>
        <vt:lpwstr/>
      </vt:variant>
      <vt:variant>
        <vt:i4>1507421</vt:i4>
      </vt:variant>
      <vt:variant>
        <vt:i4>27</vt:i4>
      </vt:variant>
      <vt:variant>
        <vt:i4>0</vt:i4>
      </vt:variant>
      <vt:variant>
        <vt:i4>5</vt:i4>
      </vt:variant>
      <vt:variant>
        <vt:lpwstr>https://www.journals.uchicago.edu/doi/abs/10.1086/508314</vt:lpwstr>
      </vt:variant>
      <vt:variant>
        <vt:lpwstr/>
      </vt:variant>
      <vt:variant>
        <vt:i4>3276922</vt:i4>
      </vt:variant>
      <vt:variant>
        <vt:i4>24</vt:i4>
      </vt:variant>
      <vt:variant>
        <vt:i4>0</vt:i4>
      </vt:variant>
      <vt:variant>
        <vt:i4>5</vt:i4>
      </vt:variant>
      <vt:variant>
        <vt:lpwstr>https://jamanetwork.com/journals/jama-health-forum/fullarticle/2804378</vt:lpwstr>
      </vt:variant>
      <vt:variant>
        <vt:lpwstr/>
      </vt:variant>
      <vt:variant>
        <vt:i4>5242967</vt:i4>
      </vt:variant>
      <vt:variant>
        <vt:i4>21</vt:i4>
      </vt:variant>
      <vt:variant>
        <vt:i4>0</vt:i4>
      </vt:variant>
      <vt:variant>
        <vt:i4>5</vt:i4>
      </vt:variant>
      <vt:variant>
        <vt:lpwstr>https://www.healthaffairs.org/doi/full/10.1377/hlthaff.2020.00284</vt:lpwstr>
      </vt:variant>
      <vt:variant>
        <vt:lpwstr/>
      </vt:variant>
      <vt:variant>
        <vt:i4>2687072</vt:i4>
      </vt:variant>
      <vt:variant>
        <vt:i4>18</vt:i4>
      </vt:variant>
      <vt:variant>
        <vt:i4>0</vt:i4>
      </vt:variant>
      <vt:variant>
        <vt:i4>5</vt:i4>
      </vt:variant>
      <vt:variant>
        <vt:lpwstr>https://www.science.org/doi/10.1126/science.aal0010</vt:lpwstr>
      </vt:variant>
      <vt:variant>
        <vt:lpwstr/>
      </vt:variant>
      <vt:variant>
        <vt:i4>327691</vt:i4>
      </vt:variant>
      <vt:variant>
        <vt:i4>15</vt:i4>
      </vt:variant>
      <vt:variant>
        <vt:i4>0</vt:i4>
      </vt:variant>
      <vt:variant>
        <vt:i4>5</vt:i4>
      </vt:variant>
      <vt:variant>
        <vt:lpwstr>https://pubmed.ncbi.nlm.nih.gov/21289355/</vt:lpwstr>
      </vt:variant>
      <vt:variant>
        <vt:lpwstr/>
      </vt:variant>
      <vt:variant>
        <vt:i4>4456448</vt:i4>
      </vt:variant>
      <vt:variant>
        <vt:i4>12</vt:i4>
      </vt:variant>
      <vt:variant>
        <vt:i4>0</vt:i4>
      </vt:variant>
      <vt:variant>
        <vt:i4>5</vt:i4>
      </vt:variant>
      <vt:variant>
        <vt:lpwstr>https://academic.oup.com/restud/article-abstract/86/1/117/5038510?redirectedFrom=fulltext&amp;login=false</vt:lpwstr>
      </vt:variant>
      <vt:variant>
        <vt:lpwstr/>
      </vt:variant>
      <vt:variant>
        <vt:i4>4063285</vt:i4>
      </vt:variant>
      <vt:variant>
        <vt:i4>9</vt:i4>
      </vt:variant>
      <vt:variant>
        <vt:i4>0</vt:i4>
      </vt:variant>
      <vt:variant>
        <vt:i4>5</vt:i4>
      </vt:variant>
      <vt:variant>
        <vt:lpwstr>https://www.nature.com/articles/d41586-025-00754-4</vt:lpwstr>
      </vt:variant>
      <vt:variant>
        <vt:lpwstr/>
      </vt:variant>
      <vt:variant>
        <vt:i4>4587595</vt:i4>
      </vt:variant>
      <vt:variant>
        <vt:i4>6</vt:i4>
      </vt:variant>
      <vt:variant>
        <vt:i4>0</vt:i4>
      </vt:variant>
      <vt:variant>
        <vt:i4>5</vt:i4>
      </vt:variant>
      <vt:variant>
        <vt:lpwstr>https://jamanetwork.com/journals/jama/fullarticle/2830676</vt:lpwstr>
      </vt:variant>
      <vt:variant>
        <vt:lpwstr/>
      </vt:variant>
      <vt:variant>
        <vt:i4>4849733</vt:i4>
      </vt:variant>
      <vt:variant>
        <vt:i4>3</vt:i4>
      </vt:variant>
      <vt:variant>
        <vt:i4>0</vt:i4>
      </vt:variant>
      <vt:variant>
        <vt:i4>5</vt:i4>
      </vt:variant>
      <vt:variant>
        <vt:lpwstr>https://jamanetwork.com/journals/jama/fullarticle/2833880</vt:lpwstr>
      </vt:variant>
      <vt:variant>
        <vt:lpwstr/>
      </vt:variant>
      <vt:variant>
        <vt:i4>3932216</vt:i4>
      </vt:variant>
      <vt:variant>
        <vt:i4>0</vt:i4>
      </vt:variant>
      <vt:variant>
        <vt:i4>0</vt:i4>
      </vt:variant>
      <vt:variant>
        <vt:i4>5</vt:i4>
      </vt:variant>
      <vt:variant>
        <vt:lpwstr>https://www.nature.com/articles/d41586-025-01397-1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Jalali, Mohammad S.,PhD</dc:creator>
  <cp:keywords/>
  <dc:description/>
  <cp:lastModifiedBy>Hasgul, Zeynep</cp:lastModifiedBy>
  <cp:revision>788</cp:revision>
  <dcterms:created xsi:type="dcterms:W3CDTF">2025-05-16T08:48:00Z</dcterms:created>
  <dcterms:modified xsi:type="dcterms:W3CDTF">2025-06-25T22:57:00Z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83b3c62d-c1e7-4c90-b593-b40f4c9d5f4a</vt:lpwstr>
  </property>
  <property fmtid="{D5CDD505-2E9C-101B-9397-08002B2CF9AE}" pid="3" name="ZOTERO_PREF_1">
    <vt:lpwstr>&lt;data data-version="3" zotero-version="6.0.36"&gt;&lt;session id="bSaND4Op"/&gt;&lt;style id="http://www.zotero.org/styles/american-medical-association" hasBibliography="1" bibliographyStyleHasBeenSet="1"/&gt;&lt;prefs&gt;&lt;pref name="fieldType" value="Field"/&gt;&lt;/prefs&gt;&lt;/data&gt;</vt:lpwstr>
  </property>
</Properties>
</file>